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AB10E" w14:textId="44C40942" w:rsidR="00313EA8" w:rsidRDefault="00105A01">
      <w:r>
        <w:t xml:space="preserve">Pierre-Olivier </w:t>
      </w:r>
      <w:proofErr w:type="spellStart"/>
      <w:r>
        <w:t>Léchot</w:t>
      </w:r>
      <w:proofErr w:type="spellEnd"/>
    </w:p>
    <w:p w14:paraId="40D94B70" w14:textId="77777777" w:rsidR="00105A01" w:rsidRDefault="00105A01"/>
    <w:p w14:paraId="29696043" w14:textId="77777777" w:rsidR="00105A01" w:rsidRPr="00105A01" w:rsidRDefault="00105A01" w:rsidP="00105A0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</w:pPr>
      <w:r w:rsidRPr="00105A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Publications depuis 2011</w:t>
      </w:r>
    </w:p>
    <w:p w14:paraId="4A9EC3E1" w14:textId="77777777" w:rsidR="00105A01" w:rsidRPr="00105A01" w:rsidRDefault="00105A01" w:rsidP="00105A0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fr-FR"/>
          <w14:ligatures w14:val="none"/>
        </w:rPr>
      </w:pPr>
      <w:r w:rsidRPr="00105A01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fr-FR"/>
          <w14:ligatures w14:val="none"/>
        </w:rPr>
        <w:t>Monographies et direction d'ouvrage</w:t>
      </w:r>
    </w:p>
    <w:p w14:paraId="47CD6AE6" w14:textId="77777777" w:rsidR="00105A01" w:rsidRPr="00105A01" w:rsidRDefault="00105A01" w:rsidP="00105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— </w:t>
      </w:r>
      <w:r w:rsidRPr="00105A0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Un christianisme « sans partialité ». Irénisme et méthode chez John Dury (v.1600-1680)</w:t>
      </w:r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, Paris, Honoré Champion (coll. « La vie des huguenots » 60), 2011, 592 p.</w:t>
      </w:r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br/>
        <w:t xml:space="preserve">— Jean-Jacques Rousseau, </w:t>
      </w:r>
      <w:r w:rsidRPr="00105A0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Profession de foi du Vicaire savoyard, éditée et annotée</w:t>
      </w:r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, avec une introduction: </w:t>
      </w:r>
      <w:r w:rsidRPr="00105A0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Ce que le vicaire doit à Calvin</w:t>
      </w:r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, Genève, Labor &amp; Fides, 2012, 214 p.</w:t>
      </w:r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br/>
        <w:t xml:space="preserve">— </w:t>
      </w:r>
      <w:r w:rsidRPr="00105A0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Le Catéchisme de Heidelberg</w:t>
      </w:r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, édition, avec une introduction : Au cœur de l’identité réformée, Genève, Labor &amp; Fides (coll. « Classiques » 1), 2013, 114 p.</w:t>
      </w:r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br/>
        <w:t xml:space="preserve">— </w:t>
      </w:r>
      <w:r w:rsidRPr="00105A0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L’identité huguenote. Faire mémoire et écrire l’histoire (XVIe-XXIe siècles)</w:t>
      </w:r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, avec Ph. Benedict et H. </w:t>
      </w:r>
      <w:proofErr w:type="spellStart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Daussy</w:t>
      </w:r>
      <w:proofErr w:type="spellEnd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(éd.), Genève, Droz (coll. « Publications de l’Association suisse pour l’histoire du Refuge huguenot » 9), 2014, 660 p.</w:t>
      </w:r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br/>
        <w:t xml:space="preserve">— Louis Tronchin et Jean-Frédéric </w:t>
      </w:r>
      <w:proofErr w:type="spellStart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Ostervald</w:t>
      </w:r>
      <w:proofErr w:type="spellEnd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, </w:t>
      </w:r>
      <w:r w:rsidRPr="00105A0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Correspondance (1683-1705)</w:t>
      </w:r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, avec Olivier Fatio, édition et annotation, Neuchâtel, Éditions </w:t>
      </w:r>
      <w:proofErr w:type="spellStart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Alphil</w:t>
      </w:r>
      <w:proofErr w:type="spellEnd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-Presses Universitaires de Suisse, 2016, 798 p.</w:t>
      </w:r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br/>
        <w:t xml:space="preserve">— Martin Luther, </w:t>
      </w:r>
      <w:r w:rsidRPr="00105A0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Une anthologie (1517-1521)</w:t>
      </w:r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, édition et introduction avec Frédéric </w:t>
      </w:r>
      <w:proofErr w:type="spellStart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Chavel</w:t>
      </w:r>
      <w:proofErr w:type="spellEnd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, Genève, Labor et Fides, 2017, 336 p.</w:t>
      </w:r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br/>
        <w:t xml:space="preserve">— </w:t>
      </w:r>
      <w:r w:rsidRPr="00105A0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Le Luther des Français</w:t>
      </w:r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, avec Matthieu Arnold (éd.), No thématique de la Revue d'histoire du protestantisme, 2017/1-2, 298 p.</w:t>
      </w:r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br/>
        <w:t xml:space="preserve">— </w:t>
      </w:r>
      <w:r w:rsidRPr="00105A0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Une histoire de la Réforme protestante en Suisse (1520-1565)</w:t>
      </w:r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, Neuchâtel, </w:t>
      </w:r>
      <w:proofErr w:type="spellStart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Alphil</w:t>
      </w:r>
      <w:proofErr w:type="spellEnd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-Presses universitaires de Suisse (col. "Focus"), 2017, 130 p.</w:t>
      </w:r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br/>
        <w:t xml:space="preserve">— </w:t>
      </w:r>
      <w:r w:rsidRPr="00105A0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La Réforme (1517-1564)</w:t>
      </w:r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, Paris, Presses universitaires de France (coll. "Que sais-je ?"), 2017, 128 p (2e édition revue et corrigée: 2021).</w:t>
      </w:r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br/>
        <w:t xml:space="preserve">— (dir.), </w:t>
      </w:r>
      <w:r w:rsidRPr="00105A0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Introduction à l'histoire de la théologie</w:t>
      </w:r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, Genève, Labor et Fides, 2018, 632 p.</w:t>
      </w:r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br/>
        <w:t xml:space="preserve">— Luther et Mahomet. </w:t>
      </w:r>
      <w:r w:rsidRPr="00105A0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Le protestantisme d'Europe occidentale devant l'islam (XVIe-XVIIIe siècle)</w:t>
      </w:r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, Paris, Le Cerf, 2021, 562 p.</w:t>
      </w:r>
    </w:p>
    <w:p w14:paraId="2E8AE36E" w14:textId="77777777" w:rsidR="00105A01" w:rsidRPr="00105A01" w:rsidRDefault="00105A01" w:rsidP="00105A0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en-GB" w:eastAsia="fr-FR"/>
          <w14:ligatures w14:val="none"/>
        </w:rPr>
      </w:pPr>
      <w:r w:rsidRPr="00105A01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en-GB" w:eastAsia="fr-FR"/>
          <w14:ligatures w14:val="none"/>
        </w:rPr>
        <w:t xml:space="preserve">Articles </w:t>
      </w:r>
      <w:proofErr w:type="spellStart"/>
      <w:r w:rsidRPr="00105A01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en-GB" w:eastAsia="fr-FR"/>
          <w14:ligatures w14:val="none"/>
        </w:rPr>
        <w:t>scientifiques</w:t>
      </w:r>
      <w:proofErr w:type="spellEnd"/>
      <w:r w:rsidRPr="00105A01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en-GB" w:eastAsia="fr-FR"/>
          <w14:ligatures w14:val="none"/>
        </w:rPr>
        <w:t xml:space="preserve"> (</w:t>
      </w:r>
      <w:proofErr w:type="spellStart"/>
      <w:r w:rsidRPr="00105A01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en-GB" w:eastAsia="fr-FR"/>
          <w14:ligatures w14:val="none"/>
        </w:rPr>
        <w:t>sélection</w:t>
      </w:r>
      <w:proofErr w:type="spellEnd"/>
      <w:r w:rsidRPr="00105A01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en-GB" w:eastAsia="fr-FR"/>
          <w14:ligatures w14:val="none"/>
        </w:rPr>
        <w:t>)</w:t>
      </w:r>
    </w:p>
    <w:p w14:paraId="2143BFB1" w14:textId="77777777" w:rsidR="00105A01" w:rsidRPr="00105A01" w:rsidRDefault="00105A01" w:rsidP="00105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de-DE" w:eastAsia="fr-FR"/>
          <w14:ligatures w14:val="none"/>
        </w:rPr>
      </w:pPr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FR"/>
          <w14:ligatures w14:val="none"/>
        </w:rPr>
        <w:t xml:space="preserve">— « Between Ramism, Socinianism and Enthusiasm. The Intellectual Context of John </w:t>
      </w:r>
      <w:proofErr w:type="spellStart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FR"/>
          <w14:ligatures w14:val="none"/>
        </w:rPr>
        <w:t>Dury’s</w:t>
      </w:r>
      <w:proofErr w:type="spellEnd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FR"/>
          <w14:ligatures w14:val="none"/>
        </w:rPr>
        <w:t xml:space="preserve"> Analysis </w:t>
      </w:r>
      <w:proofErr w:type="spellStart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FR"/>
          <w14:ligatures w14:val="none"/>
        </w:rPr>
        <w:t>Demonstrativa</w:t>
      </w:r>
      <w:proofErr w:type="spellEnd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FR"/>
          <w14:ligatures w14:val="none"/>
        </w:rPr>
        <w:t xml:space="preserve"> </w:t>
      </w:r>
      <w:proofErr w:type="spellStart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FR"/>
          <w14:ligatures w14:val="none"/>
        </w:rPr>
        <w:t>Sacrae</w:t>
      </w:r>
      <w:proofErr w:type="spellEnd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FR"/>
          <w14:ligatures w14:val="none"/>
        </w:rPr>
        <w:t xml:space="preserve"> </w:t>
      </w:r>
      <w:proofErr w:type="spellStart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FR"/>
          <w14:ligatures w14:val="none"/>
        </w:rPr>
        <w:t>Scripturae</w:t>
      </w:r>
      <w:proofErr w:type="spellEnd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FR"/>
          <w14:ligatures w14:val="none"/>
        </w:rPr>
        <w:t xml:space="preserve"> », </w:t>
      </w:r>
      <w:r w:rsidRPr="00105A0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n-GB" w:eastAsia="fr-FR"/>
          <w14:ligatures w14:val="none"/>
        </w:rPr>
        <w:t xml:space="preserve">Acta </w:t>
      </w:r>
      <w:proofErr w:type="spellStart"/>
      <w:r w:rsidRPr="00105A0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n-GB" w:eastAsia="fr-FR"/>
          <w14:ligatures w14:val="none"/>
        </w:rPr>
        <w:t>Comeniana</w:t>
      </w:r>
      <w:proofErr w:type="spellEnd"/>
      <w:r w:rsidRPr="00105A0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n-GB" w:eastAsia="fr-FR"/>
          <w14:ligatures w14:val="none"/>
        </w:rPr>
        <w:t xml:space="preserve">. </w:t>
      </w:r>
      <w:r w:rsidRPr="00105A0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 xml:space="preserve">International </w:t>
      </w:r>
      <w:proofErr w:type="spellStart"/>
      <w:r w:rsidRPr="00105A0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Review</w:t>
      </w:r>
      <w:proofErr w:type="spellEnd"/>
      <w:r w:rsidRPr="00105A0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 xml:space="preserve"> of Comenius </w:t>
      </w:r>
      <w:proofErr w:type="spellStart"/>
      <w:r w:rsidRPr="00105A0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Studies</w:t>
      </w:r>
      <w:proofErr w:type="spellEnd"/>
      <w:r w:rsidRPr="00105A0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 xml:space="preserve"> and </w:t>
      </w:r>
      <w:proofErr w:type="spellStart"/>
      <w:r w:rsidRPr="00105A0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Early</w:t>
      </w:r>
      <w:proofErr w:type="spellEnd"/>
      <w:r w:rsidRPr="00105A0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 xml:space="preserve"> Modern </w:t>
      </w:r>
      <w:proofErr w:type="spellStart"/>
      <w:r w:rsidRPr="00105A0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Intellectual</w:t>
      </w:r>
      <w:proofErr w:type="spellEnd"/>
      <w:r w:rsidRPr="00105A0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 xml:space="preserve"> </w:t>
      </w:r>
      <w:proofErr w:type="spellStart"/>
      <w:r w:rsidRPr="00105A0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History</w:t>
      </w:r>
      <w:proofErr w:type="spellEnd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, 25 (XLIX), 2011, p. 93-123.</w:t>
      </w:r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br/>
        <w:t xml:space="preserve">— « Aux frontières de deux concepts. “Irénisme” et “tolérance” au miroir de l’expérience de John Dury (v. 1600-1680) », </w:t>
      </w:r>
      <w:r w:rsidRPr="00105A0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Positions luthériennes</w:t>
      </w:r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, 59, 2011, p. 263-276.</w:t>
      </w:r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br/>
        <w:t xml:space="preserve">— « De Wolff à Zinzendorf. Portrait du polymathe Johann Peter Conrad Stadler (1720-1745) au miroir de son </w:t>
      </w:r>
      <w:proofErr w:type="spellStart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Mnemonicon</w:t>
      </w:r>
      <w:proofErr w:type="spellEnd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en lapsus et </w:t>
      </w:r>
      <w:proofErr w:type="spellStart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errores</w:t>
      </w:r>
      <w:proofErr w:type="spellEnd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», </w:t>
      </w:r>
      <w:r w:rsidRPr="00105A0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XVIII.ch, Annales de la Société suisse pour l’étude du XVIIIe siècle</w:t>
      </w:r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, 3, 2012, p. 72-90.</w:t>
      </w:r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br/>
        <w:t xml:space="preserve">— « Entre irénisme et controverse. La réécriture historique de la différence confessionnelle chez le théologien palatin Heinrich </w:t>
      </w:r>
      <w:proofErr w:type="spellStart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Alting</w:t>
      </w:r>
      <w:proofErr w:type="spellEnd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(1583-1644) », in : </w:t>
      </w:r>
      <w:r w:rsidRPr="00105A0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L’expérience de la différence religieuse dans l’Europe moderne (XVIe-XVIIIe siècles)</w:t>
      </w:r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, B. FORCLAZ (éd.), Neuchâtel, Éditions </w:t>
      </w:r>
      <w:proofErr w:type="spellStart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Alphil</w:t>
      </w:r>
      <w:proofErr w:type="spellEnd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-Presses Universitaires de Suisse, 2012, p. 349-369.</w:t>
      </w:r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br/>
        <w:t xml:space="preserve">— « Le clair-obscur des Lumières protestantes neuchâteloises. Jean-Frédéric </w:t>
      </w:r>
      <w:proofErr w:type="spellStart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Ostervald</w:t>
      </w:r>
      <w:proofErr w:type="spellEnd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(1663-1747), théologien et moraliste », in : </w:t>
      </w:r>
      <w:r w:rsidRPr="00105A0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Sa Majesté en Suisse – Neuchâtel et ses princes prussiens</w:t>
      </w:r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, E. </w:t>
      </w:r>
      <w:proofErr w:type="spellStart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Crettaz-Stürzel</w:t>
      </w:r>
      <w:proofErr w:type="spellEnd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et C. </w:t>
      </w:r>
      <w:proofErr w:type="spellStart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Lafontant</w:t>
      </w:r>
      <w:proofErr w:type="spellEnd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</w:t>
      </w:r>
      <w:proofErr w:type="spellStart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Valloton</w:t>
      </w:r>
      <w:proofErr w:type="spellEnd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(éd.), Neuchâtel, Éditions </w:t>
      </w:r>
      <w:proofErr w:type="spellStart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Alphil</w:t>
      </w:r>
      <w:proofErr w:type="spellEnd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-Presses Universitaires de Suisse, 2013, p. 278-285.</w:t>
      </w:r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br/>
        <w:t xml:space="preserve">— « Une tradition protestante oubliée. Réforme de l’homme et savoir universel chez quelques </w:t>
      </w:r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lastRenderedPageBreak/>
        <w:t xml:space="preserve">penseurs réformés d’Europe centrale (v. 1580-v. 1670) », </w:t>
      </w:r>
      <w:r w:rsidRPr="00105A0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Foi &amp; Vie</w:t>
      </w:r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, 2013/1, p. 87-96.</w:t>
      </w:r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br/>
        <w:t xml:space="preserve">— « Du nationalisme tchèque à l’universalisme pédagogique. Un regard sur la vie et l’œuvre de Jan Amos </w:t>
      </w:r>
      <w:proofErr w:type="spellStart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Komenský</w:t>
      </w:r>
      <w:proofErr w:type="spellEnd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(1592-1670) », </w:t>
      </w:r>
      <w:r w:rsidRPr="00105A0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Foi &amp; Vie</w:t>
      </w:r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, 2014/1, p. 26-39.</w:t>
      </w:r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br/>
        <w:t>— « Les peines de l’enfer sont-elles éternelles ? Note à propos d’une controverse au sein du protestantisme de langue française durant les Lumières », Études théologiques et religieuses, 89, 2014, p. 199-226.</w:t>
      </w:r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br/>
        <w:t xml:space="preserve">— « De la “fiance en Dieu” aux “devoirs de la religion”. À propos du Catéchisme de Jean-Frédéric </w:t>
      </w:r>
      <w:proofErr w:type="spellStart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Ostervald</w:t>
      </w:r>
      <w:proofErr w:type="spellEnd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(1702) », </w:t>
      </w:r>
      <w:r w:rsidRPr="00105A0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Lumen Vitae</w:t>
      </w:r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, 2014/4, p. 435-448.</w:t>
      </w:r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br/>
        <w:t xml:space="preserve">— « Quelle Suisse pour quels réfugiés ? Johann Kaspar </w:t>
      </w:r>
      <w:proofErr w:type="spellStart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Mörikofer</w:t>
      </w:r>
      <w:proofErr w:type="spellEnd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(1799-1877) et Ernest Combe (1846-1900), historiens du Grand Refuge », in : </w:t>
      </w:r>
      <w:r w:rsidRPr="00105A0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L’identité huguenote. Faire mémoire et écrire l’histoire (XVIe-XXIe siècles)</w:t>
      </w:r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, Ph. Benedict, H. </w:t>
      </w:r>
      <w:proofErr w:type="spellStart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Daussy</w:t>
      </w:r>
      <w:proofErr w:type="spellEnd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et P.-O. </w:t>
      </w:r>
      <w:proofErr w:type="spellStart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Léchot</w:t>
      </w:r>
      <w:proofErr w:type="spellEnd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(éd.), Genève, Droz, 2014, p. 371-389.</w:t>
      </w:r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br/>
        <w:t xml:space="preserve">— « “Mettre les ministres sous les pieds” ? Critique du magistrat, cléricalisme et réforme de la société à Neuchâtel au miroir de l'expérience de Jean-Frédéric </w:t>
      </w:r>
      <w:proofErr w:type="spellStart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Ostervald</w:t>
      </w:r>
      <w:proofErr w:type="spellEnd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(1663-1747) », in : </w:t>
      </w:r>
      <w:r w:rsidRPr="00105A0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Religion et pouvoir. Citoyenneté, ordre social et discipline morale dans les villes suisses (XIVe-XVIIIe siècles)</w:t>
      </w:r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, M. Schnyder et M. Caesar (éd.), Neuchâtel, Éditions </w:t>
      </w:r>
      <w:proofErr w:type="spellStart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Alphil</w:t>
      </w:r>
      <w:proofErr w:type="spellEnd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-Presses Universitaires de Suisse, 2014, p. 205-224.</w:t>
      </w:r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br/>
        <w:t xml:space="preserve">— « Apocalypse 12 dans quelques commentaires protestants des XVIe et XVIIe siècles », </w:t>
      </w:r>
      <w:r w:rsidRPr="00105A0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Cahiers Évangile, Supplément thématique</w:t>
      </w:r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, 170-171, 2014/2015, p. 61-72.</w:t>
      </w:r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br/>
        <w:t>— « „</w:t>
      </w:r>
      <w:proofErr w:type="spellStart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Toleranz</w:t>
      </w:r>
      <w:proofErr w:type="spellEnd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“ vor der </w:t>
      </w:r>
      <w:proofErr w:type="spellStart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Toleranz</w:t>
      </w:r>
      <w:proofErr w:type="spellEnd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? </w:t>
      </w:r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val="de-DE" w:eastAsia="fr-FR"/>
          <w14:ligatures w14:val="none"/>
        </w:rPr>
        <w:t xml:space="preserve">Die Kontroverse zwischen Pierre </w:t>
      </w:r>
      <w:proofErr w:type="spellStart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val="de-DE" w:eastAsia="fr-FR"/>
          <w14:ligatures w14:val="none"/>
        </w:rPr>
        <w:t>Jurieu</w:t>
      </w:r>
      <w:proofErr w:type="spellEnd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val="de-DE" w:eastAsia="fr-FR"/>
          <w14:ligatures w14:val="none"/>
        </w:rPr>
        <w:t xml:space="preserve"> und Isaac </w:t>
      </w:r>
      <w:proofErr w:type="spellStart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val="de-DE" w:eastAsia="fr-FR"/>
          <w14:ligatures w14:val="none"/>
        </w:rPr>
        <w:t>D’Huisseau</w:t>
      </w:r>
      <w:proofErr w:type="spellEnd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val="de-DE" w:eastAsia="fr-FR"/>
          <w14:ligatures w14:val="none"/>
        </w:rPr>
        <w:t xml:space="preserve"> über die Frage der Wiedervereinigung der Christen und der Fundamentalartikel des Glaubens (1670-1671) », in : </w:t>
      </w:r>
      <w:proofErr w:type="spellStart"/>
      <w:r w:rsidRPr="00105A0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de-DE" w:eastAsia="fr-FR"/>
          <w14:ligatures w14:val="none"/>
        </w:rPr>
        <w:t>Reformed</w:t>
      </w:r>
      <w:proofErr w:type="spellEnd"/>
      <w:r w:rsidRPr="00105A0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de-DE" w:eastAsia="fr-FR"/>
          <w14:ligatures w14:val="none"/>
        </w:rPr>
        <w:t xml:space="preserve"> </w:t>
      </w:r>
      <w:proofErr w:type="spellStart"/>
      <w:r w:rsidRPr="00105A0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de-DE" w:eastAsia="fr-FR"/>
          <w14:ligatures w14:val="none"/>
        </w:rPr>
        <w:t>Majorities</w:t>
      </w:r>
      <w:proofErr w:type="spellEnd"/>
      <w:r w:rsidRPr="00105A0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de-DE" w:eastAsia="fr-FR"/>
          <w14:ligatures w14:val="none"/>
        </w:rPr>
        <w:t xml:space="preserve"> in Early Modern Europe</w:t>
      </w:r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val="de-DE" w:eastAsia="fr-FR"/>
          <w14:ligatures w14:val="none"/>
        </w:rPr>
        <w:t xml:space="preserve">, H. </w:t>
      </w:r>
      <w:proofErr w:type="spellStart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val="de-DE" w:eastAsia="fr-FR"/>
          <w14:ligatures w14:val="none"/>
        </w:rPr>
        <w:t>Selderhuis</w:t>
      </w:r>
      <w:proofErr w:type="spellEnd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val="de-DE" w:eastAsia="fr-FR"/>
          <w14:ligatures w14:val="none"/>
        </w:rPr>
        <w:t xml:space="preserve"> et J. M. J. Lange van </w:t>
      </w:r>
      <w:proofErr w:type="spellStart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val="de-DE" w:eastAsia="fr-FR"/>
          <w14:ligatures w14:val="none"/>
        </w:rPr>
        <w:t>Ravenswaay</w:t>
      </w:r>
      <w:proofErr w:type="spellEnd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val="de-DE" w:eastAsia="fr-FR"/>
          <w14:ligatures w14:val="none"/>
        </w:rPr>
        <w:t xml:space="preserve"> (</w:t>
      </w:r>
      <w:proofErr w:type="spellStart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val="de-DE" w:eastAsia="fr-FR"/>
          <w14:ligatures w14:val="none"/>
        </w:rPr>
        <w:t>éd</w:t>
      </w:r>
      <w:proofErr w:type="spellEnd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val="de-DE" w:eastAsia="fr-FR"/>
          <w14:ligatures w14:val="none"/>
        </w:rPr>
        <w:t xml:space="preserve">.), Göttingen, </w:t>
      </w:r>
      <w:proofErr w:type="spellStart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val="de-DE" w:eastAsia="fr-FR"/>
          <w14:ligatures w14:val="none"/>
        </w:rPr>
        <w:t>Vandenhoek</w:t>
      </w:r>
      <w:proofErr w:type="spellEnd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val="de-DE" w:eastAsia="fr-FR"/>
          <w14:ligatures w14:val="none"/>
        </w:rPr>
        <w:t xml:space="preserve"> und Ruprecht (</w:t>
      </w:r>
      <w:proofErr w:type="spellStart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val="de-DE" w:eastAsia="fr-FR"/>
          <w14:ligatures w14:val="none"/>
        </w:rPr>
        <w:t>coll</w:t>
      </w:r>
      <w:proofErr w:type="spellEnd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val="de-DE" w:eastAsia="fr-FR"/>
          <w14:ligatures w14:val="none"/>
        </w:rPr>
        <w:t xml:space="preserve">. </w:t>
      </w:r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« Refo500 Academic </w:t>
      </w:r>
      <w:proofErr w:type="spellStart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Studies</w:t>
      </w:r>
      <w:proofErr w:type="spellEnd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»), 2015, p. 273-285.</w:t>
      </w:r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br/>
        <w:t xml:space="preserve">— « “La Liberté de Conscience fait </w:t>
      </w:r>
      <w:proofErr w:type="spellStart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cherir</w:t>
      </w:r>
      <w:proofErr w:type="spellEnd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&amp; respecter une Religion qui ne craint point l’examen &amp; qui rend les Peuples heureux.” Le christianisme au prisme du Journal Helvétique (1738-1747) », in : </w:t>
      </w:r>
      <w:r w:rsidRPr="00105A0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Lectures du Journal helvétique (1732-1782). Actes du colloque de Neuchâtel, 6-8 mars 2014</w:t>
      </w:r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, S. Huguenin et T. </w:t>
      </w:r>
      <w:proofErr w:type="spellStart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Léchot</w:t>
      </w:r>
      <w:proofErr w:type="spellEnd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(éd.), Genève, </w:t>
      </w:r>
      <w:proofErr w:type="spellStart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Slatkine</w:t>
      </w:r>
      <w:proofErr w:type="spellEnd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(coll. « La Suisse des Lumières » 18), 2016, p. 343-358.</w:t>
      </w:r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br/>
        <w:t xml:space="preserve">— "Sur une aporie de Calvin. Note à propos des origines de la doctrine </w:t>
      </w:r>
      <w:proofErr w:type="spellStart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bézienne</w:t>
      </w:r>
      <w:proofErr w:type="spellEnd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de la prédestination, </w:t>
      </w:r>
      <w:r w:rsidRPr="00105A0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Revue de théologie et de philosophie</w:t>
      </w:r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, 148, 2016/3, p. 639-656.</w:t>
      </w:r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br/>
        <w:t xml:space="preserve">— avec Nicole Lemaître, « Les historiens et la naissance de la Réforme. Du conflit à la communion », dans : Michel </w:t>
      </w:r>
      <w:proofErr w:type="spellStart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Mallèvre</w:t>
      </w:r>
      <w:proofErr w:type="spellEnd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(éd.), </w:t>
      </w:r>
      <w:r w:rsidRPr="00105A0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 xml:space="preserve">Penser les R/réformes aujourd'hui. Actes du colloque de l'Institut supérieur d'études </w:t>
      </w:r>
      <w:proofErr w:type="spellStart"/>
      <w:r w:rsidRPr="00105A0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oecuméniques</w:t>
      </w:r>
      <w:proofErr w:type="spellEnd"/>
      <w:r w:rsidRPr="00105A0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 xml:space="preserve"> (mars 2016)</w:t>
      </w:r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, Paris, Cerf, 2017, p. 103-120.</w:t>
      </w:r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br/>
        <w:t xml:space="preserve">— « “Des maîtres très grossiers et des élèves de l'Écriture dépourvus de zèle”. Quelques motifs théologiques de la polémique anti-juive chez Luther », dans : Pierre Gisel et Jean-Marc </w:t>
      </w:r>
      <w:proofErr w:type="spellStart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Tétaz</w:t>
      </w:r>
      <w:proofErr w:type="spellEnd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(éd.), </w:t>
      </w:r>
      <w:r w:rsidRPr="00105A0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Une passion après Auschwitz ? Autour de la Passion selon Marc de Michaël Levinas</w:t>
      </w:r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, Paris, Beauchesne, 2017, p. 57-83.</w:t>
      </w:r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br/>
        <w:t xml:space="preserve">— Philippe Melanchthon, « Lieux communs des choses théologiques ou Hypotyposes théologiques (1521). Introduction du livre et chapitre premier », traduction, présentation et notes, </w:t>
      </w:r>
      <w:proofErr w:type="spellStart"/>
      <w:r w:rsidRPr="00105A0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Etudes</w:t>
      </w:r>
      <w:proofErr w:type="spellEnd"/>
      <w:r w:rsidRPr="00105A0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 xml:space="preserve"> théologiques et religieuses</w:t>
      </w:r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, 92, 2017/1, p. 5-24.</w:t>
      </w:r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br/>
        <w:t xml:space="preserve">— "Entre désintérêt et prétexte. Pierre Bayle et Luther", </w:t>
      </w:r>
      <w:r w:rsidRPr="00105A0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Revue d'histoire du protestantisme</w:t>
      </w:r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, 2017/1-2, p. 57-81.</w:t>
      </w:r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br/>
        <w:t xml:space="preserve">— "Que faire de ses fantômes ? Le protestantisme genevois des Lumières face à Calvin", dans: Wolfgang Friedrich </w:t>
      </w:r>
      <w:proofErr w:type="spellStart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Schäufele</w:t>
      </w:r>
      <w:proofErr w:type="spellEnd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et Christoph </w:t>
      </w:r>
      <w:proofErr w:type="spellStart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Strohm</w:t>
      </w:r>
      <w:proofErr w:type="spellEnd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(éd.), </w:t>
      </w:r>
      <w:r w:rsidRPr="00105A0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 xml:space="preserve">Das </w:t>
      </w:r>
      <w:proofErr w:type="spellStart"/>
      <w:r w:rsidRPr="00105A0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Bild</w:t>
      </w:r>
      <w:proofErr w:type="spellEnd"/>
      <w:r w:rsidRPr="00105A0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 xml:space="preserve"> der Reformation in der Aufklärung</w:t>
      </w:r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, </w:t>
      </w:r>
      <w:proofErr w:type="spellStart"/>
      <w:r w:rsidRPr="00105A0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Schriften</w:t>
      </w:r>
      <w:proofErr w:type="spellEnd"/>
      <w:r w:rsidRPr="00105A0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 xml:space="preserve"> des </w:t>
      </w:r>
      <w:proofErr w:type="spellStart"/>
      <w:r w:rsidRPr="00105A0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Vereins</w:t>
      </w:r>
      <w:proofErr w:type="spellEnd"/>
      <w:r w:rsidRPr="00105A0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 xml:space="preserve"> </w:t>
      </w:r>
      <w:proofErr w:type="spellStart"/>
      <w:r w:rsidRPr="00105A0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für</w:t>
      </w:r>
      <w:proofErr w:type="spellEnd"/>
      <w:r w:rsidRPr="00105A0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 xml:space="preserve"> </w:t>
      </w:r>
      <w:proofErr w:type="spellStart"/>
      <w:r w:rsidRPr="00105A0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Reformationsgeschichte</w:t>
      </w:r>
      <w:proofErr w:type="spellEnd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(SVRG 218), 2017, p. 166-189.</w:t>
      </w:r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br/>
        <w:t xml:space="preserve">— "De la célébration de la liberté de conscience à l'interprétation de la modernité. Luther et ses biographes", </w:t>
      </w:r>
      <w:r w:rsidRPr="00105A0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Archives de sciences sociales des religions</w:t>
      </w:r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, 62, 2017/4, p. 179-189.</w:t>
      </w:r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br/>
      </w:r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lastRenderedPageBreak/>
        <w:t xml:space="preserve">— "Calvin et la connaissance naturelle de Dieu. Une relecture", </w:t>
      </w:r>
      <w:proofErr w:type="spellStart"/>
      <w:r w:rsidRPr="00105A0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Etudes</w:t>
      </w:r>
      <w:proofErr w:type="spellEnd"/>
      <w:r w:rsidRPr="00105A0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 xml:space="preserve"> théologiques et religieuses</w:t>
      </w:r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, 93, 2018/2, p. 261-270.</w:t>
      </w:r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br/>
        <w:t xml:space="preserve">— "La théologie protestante à l'âge des confessions (1565-1685) », dans : </w:t>
      </w:r>
      <w:r w:rsidRPr="00105A0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Introduction à l’histoire de la théologie</w:t>
      </w:r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, P.-O. </w:t>
      </w:r>
      <w:proofErr w:type="spellStart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Léchot</w:t>
      </w:r>
      <w:proofErr w:type="spellEnd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(éd.), Genève, Labor et Fides (coll. « Histoire »/« Introduction aux disciplines théologiques »), 2018, p. 236-315.</w:t>
      </w:r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br/>
        <w:t xml:space="preserve">— "Clarté et autorité de l'Écriture chez Martin Luther. Une contribution à la généalogie du mythe protestant du libre examen", dans : Alain </w:t>
      </w:r>
      <w:proofErr w:type="spellStart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Joblin</w:t>
      </w:r>
      <w:proofErr w:type="spellEnd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et Olivier Rota (éd.), </w:t>
      </w:r>
      <w:r w:rsidRPr="00105A0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Protestantisme et Islam. Convergences et divergences, XVIe-XXe siècles</w:t>
      </w:r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, Paris, Les Indes savantes, 2019.</w:t>
      </w:r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br/>
        <w:t xml:space="preserve">— "Éthique naturelle et vertu des païens dans la première scolastique réformée. Lambert Daneau, Bartholomée </w:t>
      </w:r>
      <w:proofErr w:type="spellStart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Keckermann</w:t>
      </w:r>
      <w:proofErr w:type="spellEnd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et William Ames", dans : S. </w:t>
      </w:r>
      <w:proofErr w:type="spellStart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Taussig</w:t>
      </w:r>
      <w:proofErr w:type="spellEnd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(éd.), </w:t>
      </w:r>
      <w:r w:rsidRPr="00105A0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La vertu des païens</w:t>
      </w:r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, Paris, </w:t>
      </w:r>
      <w:proofErr w:type="spellStart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Kimé</w:t>
      </w:r>
      <w:proofErr w:type="spellEnd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, 2019, p. 117-142.</w:t>
      </w:r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br/>
        <w:t xml:space="preserve">— "Théodore de Bèze spirituel. </w:t>
      </w:r>
      <w:proofErr w:type="spellStart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A</w:t>
      </w:r>
      <w:proofErr w:type="spellEnd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propos des </w:t>
      </w:r>
      <w:proofErr w:type="spellStart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Chrestiennes</w:t>
      </w:r>
      <w:proofErr w:type="spellEnd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</w:t>
      </w:r>
      <w:proofErr w:type="spellStart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meditations</w:t>
      </w:r>
      <w:proofErr w:type="spellEnd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(1582)", </w:t>
      </w:r>
      <w:r w:rsidRPr="00105A0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Revue d'histoire du protestantisme</w:t>
      </w:r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, 4/4, 2019, p. 617-626.</w:t>
      </w:r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br/>
        <w:t xml:space="preserve">— "Histoire et théologie du point de vue </w:t>
      </w:r>
      <w:proofErr w:type="spellStart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oecuménique</w:t>
      </w:r>
      <w:proofErr w:type="spellEnd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", </w:t>
      </w:r>
      <w:proofErr w:type="spellStart"/>
      <w:r w:rsidRPr="00105A0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Istina</w:t>
      </w:r>
      <w:proofErr w:type="spellEnd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, 65, 2020, p. 143-152.</w:t>
      </w:r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br/>
        <w:t xml:space="preserve">— "Morin, Jean (1591-1659)", dans : C. M. </w:t>
      </w:r>
      <w:proofErr w:type="spellStart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Furey</w:t>
      </w:r>
      <w:proofErr w:type="spellEnd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, B. Matz, S. L. McKenzie, Th. Chr. Römer, J. </w:t>
      </w:r>
      <w:proofErr w:type="spellStart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Schröter</w:t>
      </w:r>
      <w:proofErr w:type="spellEnd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, B. </w:t>
      </w:r>
      <w:proofErr w:type="spellStart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Dov</w:t>
      </w:r>
      <w:proofErr w:type="spellEnd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</w:t>
      </w:r>
      <w:proofErr w:type="spellStart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Walfish</w:t>
      </w:r>
      <w:proofErr w:type="spellEnd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et E. </w:t>
      </w:r>
      <w:proofErr w:type="spellStart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Ziolkowski</w:t>
      </w:r>
      <w:proofErr w:type="spellEnd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(éd.), </w:t>
      </w:r>
      <w:proofErr w:type="spellStart"/>
      <w:r w:rsidRPr="00105A0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Encyclopedia</w:t>
      </w:r>
      <w:proofErr w:type="spellEnd"/>
      <w:r w:rsidRPr="00105A0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 xml:space="preserve"> of the Bible and </w:t>
      </w:r>
      <w:proofErr w:type="spellStart"/>
      <w:r w:rsidRPr="00105A0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its</w:t>
      </w:r>
      <w:proofErr w:type="spellEnd"/>
      <w:r w:rsidRPr="00105A0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 xml:space="preserve"> </w:t>
      </w:r>
      <w:proofErr w:type="spellStart"/>
      <w:r w:rsidRPr="00105A0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Reception</w:t>
      </w:r>
      <w:proofErr w:type="spellEnd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, Berlin, De </w:t>
      </w:r>
      <w:proofErr w:type="spellStart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Gruyter</w:t>
      </w:r>
      <w:proofErr w:type="spellEnd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, t. XIX, 2020.</w:t>
      </w:r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br/>
        <w:t>— "“Apostat, transgresseur de la Loi et intrus dans le vrai christianisme”. Racines confessionnelles et transculturelles de l'</w:t>
      </w:r>
      <w:proofErr w:type="spellStart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antipaulinisme</w:t>
      </w:r>
      <w:proofErr w:type="spellEnd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des Lumières, </w:t>
      </w:r>
      <w:proofErr w:type="spellStart"/>
      <w:r w:rsidRPr="00105A0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Etudes</w:t>
      </w:r>
      <w:proofErr w:type="spellEnd"/>
      <w:r w:rsidRPr="00105A0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 xml:space="preserve"> théologiques et religieuses</w:t>
      </w:r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, 97, 2022, p. 129-157.</w:t>
      </w:r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br/>
        <w:t xml:space="preserve">— "Déjudaïser la Bible? Les hésitations de l'érudition protestante de l'Âge classique devant la littérature rabbinique", </w:t>
      </w:r>
      <w:proofErr w:type="spellStart"/>
      <w:r w:rsidRPr="00105A0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Etudes</w:t>
      </w:r>
      <w:proofErr w:type="spellEnd"/>
      <w:r w:rsidRPr="00105A0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 xml:space="preserve"> théologiques et religieuses</w:t>
      </w:r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, 98, 2023, p. 43-70.</w:t>
      </w:r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br/>
        <w:t xml:space="preserve">— "Quand un calviniste explorait le </w:t>
      </w:r>
      <w:proofErr w:type="spellStart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jihād</w:t>
      </w:r>
      <w:proofErr w:type="spellEnd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. Adriaan </w:t>
      </w:r>
      <w:proofErr w:type="spellStart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Reland</w:t>
      </w:r>
      <w:proofErr w:type="spellEnd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(1676-1718) et les motivations de l'érudition orientaliste à l'aube des Lumières", dans : G. </w:t>
      </w:r>
      <w:proofErr w:type="spellStart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Oguey</w:t>
      </w:r>
      <w:proofErr w:type="spellEnd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et alii (éd.), </w:t>
      </w:r>
      <w:r w:rsidRPr="00105A0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 xml:space="preserve">Chanter l'histoire en réveillant les sources. Mélanges d'histoire(s) offerts au professeur Jean-Daniel </w:t>
      </w:r>
      <w:proofErr w:type="spellStart"/>
      <w:r w:rsidRPr="00105A0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Morerod</w:t>
      </w:r>
      <w:proofErr w:type="spellEnd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, Neuchâtel, </w:t>
      </w:r>
      <w:proofErr w:type="spellStart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Alphil</w:t>
      </w:r>
      <w:proofErr w:type="spellEnd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-Presses universitaires de Suisse, 2023, p. 323-362.</w:t>
      </w:r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br/>
        <w:t>— "</w:t>
      </w:r>
      <w:proofErr w:type="spellStart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Zwischen</w:t>
      </w:r>
      <w:proofErr w:type="spellEnd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</w:t>
      </w:r>
      <w:proofErr w:type="spellStart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konfessionneller</w:t>
      </w:r>
      <w:proofErr w:type="spellEnd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Orthodoxie, </w:t>
      </w:r>
      <w:proofErr w:type="spellStart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biblischer</w:t>
      </w:r>
      <w:proofErr w:type="spellEnd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Philologie un </w:t>
      </w:r>
      <w:proofErr w:type="spellStart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Millenarismus</w:t>
      </w:r>
      <w:proofErr w:type="spellEnd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. Anna Maria van </w:t>
      </w:r>
      <w:proofErr w:type="spellStart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Schurman</w:t>
      </w:r>
      <w:proofErr w:type="spellEnd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(1607-1678) und die </w:t>
      </w:r>
      <w:proofErr w:type="spellStart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Bibel</w:t>
      </w:r>
      <w:proofErr w:type="spellEnd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", dans: G. Schneider-</w:t>
      </w:r>
      <w:proofErr w:type="spellStart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Ludorff</w:t>
      </w:r>
      <w:proofErr w:type="spellEnd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, L. Vogel et C. Methuen (éd.), </w:t>
      </w:r>
      <w:r w:rsidRPr="00105A0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 xml:space="preserve">The Bible and </w:t>
      </w:r>
      <w:proofErr w:type="spellStart"/>
      <w:r w:rsidRPr="00105A0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Women</w:t>
      </w:r>
      <w:proofErr w:type="spellEnd"/>
      <w:r w:rsidRPr="00105A0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 xml:space="preserve"> in Reformation </w:t>
      </w:r>
      <w:proofErr w:type="spellStart"/>
      <w:r w:rsidRPr="00105A0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Movements</w:t>
      </w:r>
      <w:proofErr w:type="spellEnd"/>
      <w:r w:rsidRPr="00105A0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 xml:space="preserve"> in </w:t>
      </w:r>
      <w:proofErr w:type="spellStart"/>
      <w:r w:rsidRPr="00105A0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Sixteenth</w:t>
      </w:r>
      <w:proofErr w:type="spellEnd"/>
      <w:r w:rsidRPr="00105A0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 xml:space="preserve">- and </w:t>
      </w:r>
      <w:proofErr w:type="spellStart"/>
      <w:r w:rsidRPr="00105A0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Seventeenth</w:t>
      </w:r>
      <w:proofErr w:type="spellEnd"/>
      <w:r w:rsidRPr="00105A0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 xml:space="preserve">-Century Europe/Die </w:t>
      </w:r>
      <w:proofErr w:type="spellStart"/>
      <w:r w:rsidRPr="00105A0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Bibel</w:t>
      </w:r>
      <w:proofErr w:type="spellEnd"/>
      <w:r w:rsidRPr="00105A0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 xml:space="preserve"> und </w:t>
      </w:r>
      <w:proofErr w:type="spellStart"/>
      <w:r w:rsidRPr="00105A0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Frauen</w:t>
      </w:r>
      <w:proofErr w:type="spellEnd"/>
      <w:r w:rsidRPr="00105A0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 xml:space="preserve"> in </w:t>
      </w:r>
      <w:proofErr w:type="spellStart"/>
      <w:r w:rsidRPr="00105A0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reformatorischen</w:t>
      </w:r>
      <w:proofErr w:type="spellEnd"/>
      <w:r w:rsidRPr="00105A0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 xml:space="preserve"> </w:t>
      </w:r>
      <w:proofErr w:type="spellStart"/>
      <w:r w:rsidRPr="00105A0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Bewegungen</w:t>
      </w:r>
      <w:proofErr w:type="spellEnd"/>
      <w:r w:rsidRPr="00105A0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 xml:space="preserve"> in Europa </w:t>
      </w:r>
      <w:proofErr w:type="spellStart"/>
      <w:r w:rsidRPr="00105A0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im</w:t>
      </w:r>
      <w:proofErr w:type="spellEnd"/>
      <w:r w:rsidRPr="00105A0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 xml:space="preserve"> 16. und 17. </w:t>
      </w:r>
      <w:r w:rsidRPr="00105A0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de-DE" w:eastAsia="fr-FR"/>
          <w14:ligatures w14:val="none"/>
        </w:rPr>
        <w:t>Jh., Stuttgart</w:t>
      </w:r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val="de-DE" w:eastAsia="fr-FR"/>
          <w14:ligatures w14:val="none"/>
        </w:rPr>
        <w:t>, Kohlhammer Verlag (</w:t>
      </w:r>
      <w:proofErr w:type="spellStart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val="de-DE" w:eastAsia="fr-FR"/>
          <w14:ligatures w14:val="none"/>
        </w:rPr>
        <w:t>coll</w:t>
      </w:r>
      <w:proofErr w:type="spellEnd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val="de-DE" w:eastAsia="fr-FR"/>
          <w14:ligatures w14:val="none"/>
        </w:rPr>
        <w:t xml:space="preserve">. "Die Bibel und die Frauen. Eine exegetisch-kulturgeschichtliche Enzyklopädie, </w:t>
      </w:r>
      <w:proofErr w:type="spellStart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val="de-DE" w:eastAsia="fr-FR"/>
          <w14:ligatures w14:val="none"/>
        </w:rPr>
        <w:t>No</w:t>
      </w:r>
      <w:proofErr w:type="spellEnd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val="de-DE" w:eastAsia="fr-FR"/>
          <w14:ligatures w14:val="none"/>
        </w:rPr>
        <w:t xml:space="preserve"> 7.1), 2023, à </w:t>
      </w:r>
      <w:proofErr w:type="spellStart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val="de-DE" w:eastAsia="fr-FR"/>
          <w14:ligatures w14:val="none"/>
        </w:rPr>
        <w:t>paraître</w:t>
      </w:r>
      <w:proofErr w:type="spellEnd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val="de-DE" w:eastAsia="fr-FR"/>
          <w14:ligatures w14:val="none"/>
        </w:rPr>
        <w:t>.</w:t>
      </w:r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val="de-DE" w:eastAsia="fr-FR"/>
          <w14:ligatures w14:val="none"/>
        </w:rPr>
        <w:br/>
        <w:t xml:space="preserve">— "Philosophy and </w:t>
      </w:r>
      <w:proofErr w:type="spellStart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val="de-DE" w:eastAsia="fr-FR"/>
          <w14:ligatures w14:val="none"/>
        </w:rPr>
        <w:t>it’s</w:t>
      </w:r>
      <w:proofErr w:type="spellEnd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val="de-DE" w:eastAsia="fr-FR"/>
          <w14:ligatures w14:val="none"/>
        </w:rPr>
        <w:t xml:space="preserve"> </w:t>
      </w:r>
      <w:proofErr w:type="spellStart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val="de-DE" w:eastAsia="fr-FR"/>
          <w14:ligatures w14:val="none"/>
        </w:rPr>
        <w:t>Islamic</w:t>
      </w:r>
      <w:proofErr w:type="spellEnd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val="de-DE" w:eastAsia="fr-FR"/>
          <w14:ligatures w14:val="none"/>
        </w:rPr>
        <w:t xml:space="preserve"> Moment. Pierre Bayle and Islam", </w:t>
      </w:r>
      <w:proofErr w:type="spellStart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val="de-DE" w:eastAsia="fr-FR"/>
          <w14:ligatures w14:val="none"/>
        </w:rPr>
        <w:t>dans</w:t>
      </w:r>
      <w:proofErr w:type="spellEnd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val="de-DE" w:eastAsia="fr-FR"/>
          <w14:ligatures w14:val="none"/>
        </w:rPr>
        <w:t xml:space="preserve"> : Marta García-Alonso et John Christian Laursen (dir.), </w:t>
      </w:r>
      <w:r w:rsidRPr="00105A0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de-DE" w:eastAsia="fr-FR"/>
          <w14:ligatures w14:val="none"/>
        </w:rPr>
        <w:t xml:space="preserve">The </w:t>
      </w:r>
      <w:proofErr w:type="spellStart"/>
      <w:r w:rsidRPr="00105A0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de-DE" w:eastAsia="fr-FR"/>
          <w14:ligatures w14:val="none"/>
        </w:rPr>
        <w:t>Importance</w:t>
      </w:r>
      <w:proofErr w:type="spellEnd"/>
      <w:r w:rsidRPr="00105A0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de-DE" w:eastAsia="fr-FR"/>
          <w14:ligatures w14:val="none"/>
        </w:rPr>
        <w:t xml:space="preserve"> </w:t>
      </w:r>
      <w:proofErr w:type="spellStart"/>
      <w:r w:rsidRPr="00105A0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de-DE" w:eastAsia="fr-FR"/>
          <w14:ligatures w14:val="none"/>
        </w:rPr>
        <w:t>of</w:t>
      </w:r>
      <w:proofErr w:type="spellEnd"/>
      <w:r w:rsidRPr="00105A0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de-DE" w:eastAsia="fr-FR"/>
          <w14:ligatures w14:val="none"/>
        </w:rPr>
        <w:t xml:space="preserve"> non-Christian </w:t>
      </w:r>
      <w:proofErr w:type="spellStart"/>
      <w:r w:rsidRPr="00105A0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de-DE" w:eastAsia="fr-FR"/>
          <w14:ligatures w14:val="none"/>
        </w:rPr>
        <w:t>Religions</w:t>
      </w:r>
      <w:proofErr w:type="spellEnd"/>
      <w:r w:rsidRPr="00105A0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de-DE" w:eastAsia="fr-FR"/>
          <w14:ligatures w14:val="none"/>
        </w:rPr>
        <w:t xml:space="preserve"> and Cultures in </w:t>
      </w:r>
      <w:proofErr w:type="spellStart"/>
      <w:r w:rsidRPr="00105A0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de-DE" w:eastAsia="fr-FR"/>
          <w14:ligatures w14:val="none"/>
        </w:rPr>
        <w:t>the</w:t>
      </w:r>
      <w:proofErr w:type="spellEnd"/>
      <w:r w:rsidRPr="00105A0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de-DE" w:eastAsia="fr-FR"/>
          <w14:ligatures w14:val="none"/>
        </w:rPr>
        <w:t xml:space="preserve"> Philosophy </w:t>
      </w:r>
      <w:proofErr w:type="spellStart"/>
      <w:r w:rsidRPr="00105A0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de-DE" w:eastAsia="fr-FR"/>
          <w14:ligatures w14:val="none"/>
        </w:rPr>
        <w:t>of</w:t>
      </w:r>
      <w:proofErr w:type="spellEnd"/>
      <w:r w:rsidRPr="00105A0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de-DE" w:eastAsia="fr-FR"/>
          <w14:ligatures w14:val="none"/>
        </w:rPr>
        <w:t xml:space="preserve"> Pierre Bayle</w:t>
      </w:r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val="de-DE" w:eastAsia="fr-FR"/>
          <w14:ligatures w14:val="none"/>
        </w:rPr>
        <w:t xml:space="preserve">, New York, Springer, 2024, à </w:t>
      </w:r>
      <w:proofErr w:type="spellStart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val="de-DE" w:eastAsia="fr-FR"/>
          <w14:ligatures w14:val="none"/>
        </w:rPr>
        <w:t>paraître</w:t>
      </w:r>
      <w:proofErr w:type="spellEnd"/>
      <w:r w:rsidRPr="00105A01">
        <w:rPr>
          <w:rFonts w:ascii="Times New Roman" w:eastAsia="Times New Roman" w:hAnsi="Times New Roman" w:cs="Times New Roman"/>
          <w:kern w:val="0"/>
          <w:sz w:val="24"/>
          <w:szCs w:val="24"/>
          <w:lang w:val="de-DE" w:eastAsia="fr-FR"/>
          <w14:ligatures w14:val="none"/>
        </w:rPr>
        <w:t>.</w:t>
      </w:r>
    </w:p>
    <w:p w14:paraId="23F20BFD" w14:textId="77777777" w:rsidR="00105A01" w:rsidRPr="00105A01" w:rsidRDefault="00105A01">
      <w:pPr>
        <w:rPr>
          <w:lang w:val="de-DE"/>
        </w:rPr>
      </w:pPr>
    </w:p>
    <w:sectPr w:rsidR="00105A01" w:rsidRPr="00105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A01"/>
    <w:rsid w:val="00105A01"/>
    <w:rsid w:val="00313EA8"/>
    <w:rsid w:val="0094096F"/>
    <w:rsid w:val="00B3635E"/>
    <w:rsid w:val="00E8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BCCF1"/>
  <w15:chartTrackingRefBased/>
  <w15:docId w15:val="{B195C467-9AB4-43AD-A1A7-C05F5CABE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105A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fr-FR"/>
      <w14:ligatures w14:val="none"/>
    </w:rPr>
  </w:style>
  <w:style w:type="paragraph" w:styleId="Titre5">
    <w:name w:val="heading 5"/>
    <w:basedOn w:val="Normal"/>
    <w:link w:val="Titre5Car"/>
    <w:uiPriority w:val="9"/>
    <w:qFormat/>
    <w:rsid w:val="00105A0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105A01"/>
    <w:rPr>
      <w:rFonts w:ascii="Times New Roman" w:eastAsia="Times New Roman" w:hAnsi="Times New Roman" w:cs="Times New Roman"/>
      <w:b/>
      <w:bCs/>
      <w:kern w:val="0"/>
      <w:sz w:val="24"/>
      <w:szCs w:val="24"/>
      <w:lang w:eastAsia="fr-FR"/>
      <w14:ligatures w14:val="none"/>
    </w:rPr>
  </w:style>
  <w:style w:type="character" w:customStyle="1" w:styleId="Titre5Car">
    <w:name w:val="Titre 5 Car"/>
    <w:basedOn w:val="Policepardfaut"/>
    <w:link w:val="Titre5"/>
    <w:uiPriority w:val="9"/>
    <w:rsid w:val="00105A01"/>
    <w:rPr>
      <w:rFonts w:ascii="Times New Roman" w:eastAsia="Times New Roman" w:hAnsi="Times New Roman" w:cs="Times New Roman"/>
      <w:b/>
      <w:bCs/>
      <w:kern w:val="0"/>
      <w:sz w:val="20"/>
      <w:szCs w:val="20"/>
      <w:lang w:eastAsia="fr-F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105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Accentuation">
    <w:name w:val="Emphasis"/>
    <w:basedOn w:val="Policepardfaut"/>
    <w:uiPriority w:val="20"/>
    <w:qFormat/>
    <w:rsid w:val="00105A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1509</Words>
  <Characters>8305</Characters>
  <Application>Microsoft Office Word</Application>
  <DocSecurity>0</DocSecurity>
  <Lines>69</Lines>
  <Paragraphs>19</Paragraphs>
  <ScaleCrop>false</ScaleCrop>
  <Company/>
  <LinksUpToDate>false</LinksUpToDate>
  <CharactersWithSpaces>9795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den kerchove anna</dc:creator>
  <cp:keywords/>
  <dc:description/>
  <cp:lastModifiedBy>van den kerchove anna</cp:lastModifiedBy>
  <cp:revision>1</cp:revision>
  <dcterms:created xsi:type="dcterms:W3CDTF">2023-06-29T09:37:00Z</dcterms:created>
  <dcterms:modified xsi:type="dcterms:W3CDTF">2023-06-29T09:38:00Z</dcterms:modified>
</cp:coreProperties>
</file>