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0C04" w14:textId="3F9DD68F" w:rsidR="00D93466" w:rsidRPr="008819BF" w:rsidRDefault="00D93466" w:rsidP="00D93466">
      <w:pPr>
        <w:pStyle w:val="views-row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8819BF">
        <w:rPr>
          <w:b/>
          <w:bCs/>
          <w:color w:val="000000"/>
          <w:sz w:val="22"/>
          <w:szCs w:val="22"/>
        </w:rPr>
        <w:t>Marc Boss</w:t>
      </w:r>
      <w:r w:rsidR="008819BF" w:rsidRPr="008819BF">
        <w:rPr>
          <w:b/>
          <w:bCs/>
          <w:color w:val="000000"/>
          <w:sz w:val="22"/>
          <w:szCs w:val="22"/>
        </w:rPr>
        <w:t xml:space="preserve"> – liste non ex</w:t>
      </w:r>
      <w:r w:rsidR="008819BF">
        <w:rPr>
          <w:b/>
          <w:bCs/>
          <w:color w:val="000000"/>
          <w:sz w:val="22"/>
          <w:szCs w:val="22"/>
        </w:rPr>
        <w:t>haustive</w:t>
      </w:r>
    </w:p>
    <w:p w14:paraId="421B78CF" w14:textId="77777777" w:rsidR="00D93466" w:rsidRPr="008819BF" w:rsidRDefault="00D93466" w:rsidP="00D93466">
      <w:pPr>
        <w:pStyle w:val="views-row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176DA00F" w14:textId="3C37C208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D93466">
        <w:rPr>
          <w:b/>
          <w:bCs/>
          <w:color w:val="000000"/>
          <w:sz w:val="22"/>
          <w:szCs w:val="22"/>
        </w:rPr>
        <w:t>Articles et actes dans des colloques, chapitres d’ouvrages</w:t>
      </w:r>
    </w:p>
    <w:p w14:paraId="1C630639" w14:textId="77777777" w:rsidR="00D93466" w:rsidRPr="00D93466" w:rsidRDefault="00D93466" w:rsidP="00D93466">
      <w:pPr>
        <w:widowControl w:val="0"/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93466">
        <w:rPr>
          <w:rFonts w:ascii="Times New Roman" w:hAnsi="Times New Roman" w:cs="Times New Roman"/>
        </w:rPr>
        <w:t xml:space="preserve">Boss, Marc, « L’Évangile de l’autoabolition du christianisme et sa réception critique chez Paul Tillich et Paul Ricœur », dans </w:t>
      </w:r>
      <w:r w:rsidRPr="00D93466">
        <w:rPr>
          <w:rFonts w:ascii="Times New Roman" w:hAnsi="Times New Roman" w:cs="Times New Roman"/>
          <w:i/>
          <w:iCs/>
        </w:rPr>
        <w:t>Faire de la théologie aujourd’hui</w:t>
      </w:r>
      <w:r w:rsidRPr="00D93466">
        <w:rPr>
          <w:rFonts w:ascii="Times New Roman" w:hAnsi="Times New Roman" w:cs="Times New Roman"/>
        </w:rPr>
        <w:t xml:space="preserve">. </w:t>
      </w:r>
      <w:r w:rsidRPr="00D93466">
        <w:rPr>
          <w:rFonts w:ascii="Times New Roman" w:hAnsi="Times New Roman" w:cs="Times New Roman"/>
          <w:i/>
          <w:iCs/>
        </w:rPr>
        <w:t>Actes du symposium de l’Institut protestant de théologie à Paris (8-11 juin 2022), vol. II</w:t>
      </w:r>
      <w:r w:rsidRPr="00D93466">
        <w:rPr>
          <w:rFonts w:ascii="Times New Roman" w:hAnsi="Times New Roman" w:cs="Times New Roman"/>
        </w:rPr>
        <w:t xml:space="preserve">, </w:t>
      </w:r>
      <w:r w:rsidRPr="00D93466">
        <w:rPr>
          <w:rFonts w:ascii="Times New Roman" w:hAnsi="Times New Roman" w:cs="Times New Roman"/>
          <w:i/>
          <w:iCs/>
        </w:rPr>
        <w:t>Études théologiques et religieuses</w:t>
      </w:r>
      <w:r w:rsidRPr="00D93466">
        <w:rPr>
          <w:rFonts w:ascii="Times New Roman" w:hAnsi="Times New Roman" w:cs="Times New Roman"/>
        </w:rPr>
        <w:t xml:space="preserve"> 98/1, 2023, p. 89-105.</w:t>
      </w:r>
    </w:p>
    <w:p w14:paraId="4AF94F05" w14:textId="77777777" w:rsidR="00D93466" w:rsidRPr="00D93466" w:rsidRDefault="00D93466" w:rsidP="00D93466">
      <w:pPr>
        <w:widowControl w:val="0"/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93466">
        <w:rPr>
          <w:rFonts w:ascii="Times New Roman" w:hAnsi="Times New Roman" w:cs="Times New Roman"/>
        </w:rPr>
        <w:t>Boss, Marc, « Les ambivalences du théologico-politique chez Paul Tillich et Paul Ricœur », dans Marc Boss, Marc Dumas et Benoît Mathot (éd.),</w:t>
      </w:r>
      <w:r w:rsidRPr="00D93466">
        <w:rPr>
          <w:rFonts w:ascii="Times New Roman" w:hAnsi="Times New Roman" w:cs="Times New Roman"/>
          <w:i/>
          <w:iCs/>
        </w:rPr>
        <w:t xml:space="preserve"> Paul Tillich et Paul Ricœur en dialogue</w:t>
      </w:r>
      <w:r w:rsidRPr="00D93466">
        <w:rPr>
          <w:rFonts w:ascii="Times New Roman" w:hAnsi="Times New Roman" w:cs="Times New Roman"/>
        </w:rPr>
        <w:t>, Berlin-Boston, De Gruyter, coll. « Tillich Research 22 », 2022, p. 213-245.</w:t>
      </w:r>
    </w:p>
    <w:p w14:paraId="74DDA2C8" w14:textId="77777777" w:rsidR="00D93466" w:rsidRPr="00D93466" w:rsidRDefault="00D93466" w:rsidP="00D93466">
      <w:pPr>
        <w:widowControl w:val="0"/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93466">
        <w:rPr>
          <w:rFonts w:ascii="Times New Roman" w:hAnsi="Times New Roman" w:cs="Times New Roman"/>
        </w:rPr>
        <w:t xml:space="preserve">Boss, Marc, « Justice et justification. La réception de la Déclaration commune sur la Doctrine de la justification par la Communion mondiale d’Églises réformées », </w:t>
      </w:r>
      <w:r w:rsidRPr="00D93466">
        <w:rPr>
          <w:rFonts w:ascii="Times New Roman" w:hAnsi="Times New Roman" w:cs="Times New Roman"/>
          <w:i/>
          <w:iCs/>
        </w:rPr>
        <w:t>in</w:t>
      </w:r>
      <w:r w:rsidRPr="00D93466">
        <w:rPr>
          <w:rFonts w:ascii="Times New Roman" w:hAnsi="Times New Roman" w:cs="Times New Roman"/>
        </w:rPr>
        <w:t xml:space="preserve"> Institut supérieur d’études œcuméniques (éd.), </w:t>
      </w:r>
      <w:r w:rsidRPr="00D93466">
        <w:rPr>
          <w:rFonts w:ascii="Times New Roman" w:hAnsi="Times New Roman" w:cs="Times New Roman"/>
          <w:i/>
        </w:rPr>
        <w:t>É</w:t>
      </w:r>
      <w:r w:rsidRPr="00D93466">
        <w:rPr>
          <w:rFonts w:ascii="Times New Roman" w:hAnsi="Times New Roman" w:cs="Times New Roman"/>
          <w:i/>
          <w:iCs/>
        </w:rPr>
        <w:t>glises en chantier. Justice et justification au cœur de nos pratiques. Actes du Colloque des Facultés tenu à l’Institut Catholique de Paris du 12 au 14 mars 2019</w:t>
      </w:r>
      <w:r w:rsidRPr="00D93466">
        <w:rPr>
          <w:rFonts w:ascii="Times New Roman" w:hAnsi="Times New Roman" w:cs="Times New Roman"/>
        </w:rPr>
        <w:t>, Paris, Cerf, coll. « Patrimoines », 2020, p. 81-105.</w:t>
      </w:r>
    </w:p>
    <w:p w14:paraId="50823769" w14:textId="77777777" w:rsidR="00D93466" w:rsidRPr="00D93466" w:rsidRDefault="00D93466" w:rsidP="00D93466">
      <w:pPr>
        <w:pStyle w:val="NormalWeb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93466">
        <w:rPr>
          <w:sz w:val="22"/>
          <w:szCs w:val="22"/>
        </w:rPr>
        <w:t xml:space="preserve">Boss, Marc et Antier, Guilhen, « Le théologico-politique est mort, vive le théologico-politique ! (Avant-propos) », dans Guilhen Antier et Marc Boss (éd.), </w:t>
      </w:r>
      <w:r w:rsidRPr="00D93466">
        <w:rPr>
          <w:rStyle w:val="Accentuation"/>
          <w:sz w:val="22"/>
          <w:szCs w:val="22"/>
        </w:rPr>
        <w:t>Variations du théologico-politique</w:t>
      </w:r>
      <w:r w:rsidRPr="00D93466">
        <w:rPr>
          <w:sz w:val="22"/>
          <w:szCs w:val="22"/>
        </w:rPr>
        <w:t xml:space="preserve">. </w:t>
      </w:r>
      <w:r w:rsidRPr="00D93466">
        <w:rPr>
          <w:i/>
          <w:iCs/>
          <w:sz w:val="22"/>
          <w:szCs w:val="22"/>
        </w:rPr>
        <w:t>Actes du colloque du CRES à Montpellier (9-10 mars 2018)</w:t>
      </w:r>
      <w:r w:rsidRPr="00D93466">
        <w:rPr>
          <w:sz w:val="22"/>
          <w:szCs w:val="22"/>
        </w:rPr>
        <w:t xml:space="preserve">, </w:t>
      </w:r>
      <w:r w:rsidRPr="00D93466">
        <w:rPr>
          <w:rStyle w:val="Accentuation"/>
          <w:sz w:val="22"/>
          <w:szCs w:val="22"/>
        </w:rPr>
        <w:t>Études théologiques et religieuses</w:t>
      </w:r>
      <w:r w:rsidRPr="00D93466">
        <w:rPr>
          <w:sz w:val="22"/>
          <w:szCs w:val="22"/>
        </w:rPr>
        <w:t xml:space="preserve"> </w:t>
      </w:r>
      <w:r w:rsidRPr="00D93466">
        <w:rPr>
          <w:smallCaps/>
          <w:sz w:val="22"/>
          <w:szCs w:val="22"/>
        </w:rPr>
        <w:t>94</w:t>
      </w:r>
      <w:r w:rsidRPr="00D93466">
        <w:rPr>
          <w:sz w:val="22"/>
          <w:szCs w:val="22"/>
        </w:rPr>
        <w:t>/2, 2019, p. 209-214.</w:t>
      </w:r>
    </w:p>
    <w:p w14:paraId="2E94A5E4" w14:textId="77777777" w:rsidR="00D93466" w:rsidRPr="00D93466" w:rsidRDefault="00D93466" w:rsidP="00D93466">
      <w:pPr>
        <w:widowControl w:val="0"/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93466">
        <w:rPr>
          <w:rFonts w:ascii="Times New Roman" w:hAnsi="Times New Roman" w:cs="Times New Roman"/>
        </w:rPr>
        <w:t xml:space="preserve">Boss, Marc, « Un nouveau saint Benoît pour un nouvel âge des ténèbres ? À quoi rêve donc Alasdair MacIntyre? », dans Guilhen Antier et Marc Boss (éd.), </w:t>
      </w:r>
      <w:r w:rsidRPr="00D93466">
        <w:rPr>
          <w:rStyle w:val="Accentuation"/>
          <w:rFonts w:ascii="Times New Roman" w:hAnsi="Times New Roman" w:cs="Times New Roman"/>
        </w:rPr>
        <w:t>Variations du théologico-politique</w:t>
      </w:r>
      <w:r w:rsidRPr="00D93466">
        <w:rPr>
          <w:rFonts w:ascii="Times New Roman" w:hAnsi="Times New Roman" w:cs="Times New Roman"/>
        </w:rPr>
        <w:t xml:space="preserve">. </w:t>
      </w:r>
      <w:r w:rsidRPr="00D93466">
        <w:rPr>
          <w:rFonts w:ascii="Times New Roman" w:hAnsi="Times New Roman" w:cs="Times New Roman"/>
          <w:i/>
          <w:iCs/>
        </w:rPr>
        <w:t>Actes du colloque du CRES à Montpellier (9-10 mars 2018)</w:t>
      </w:r>
      <w:r w:rsidRPr="00D93466">
        <w:rPr>
          <w:rFonts w:ascii="Times New Roman" w:hAnsi="Times New Roman" w:cs="Times New Roman"/>
        </w:rPr>
        <w:t xml:space="preserve">, </w:t>
      </w:r>
      <w:r w:rsidRPr="00D93466">
        <w:rPr>
          <w:rStyle w:val="Accentuation"/>
          <w:rFonts w:ascii="Times New Roman" w:hAnsi="Times New Roman" w:cs="Times New Roman"/>
        </w:rPr>
        <w:t>Études théologiques et religieuses</w:t>
      </w:r>
      <w:r w:rsidRPr="00D93466">
        <w:rPr>
          <w:rFonts w:ascii="Times New Roman" w:hAnsi="Times New Roman" w:cs="Times New Roman"/>
        </w:rPr>
        <w:t xml:space="preserve"> </w:t>
      </w:r>
      <w:r w:rsidRPr="00D93466">
        <w:rPr>
          <w:rFonts w:ascii="Times New Roman" w:hAnsi="Times New Roman" w:cs="Times New Roman"/>
          <w:smallCaps/>
        </w:rPr>
        <w:t>94</w:t>
      </w:r>
      <w:r w:rsidRPr="00D93466">
        <w:rPr>
          <w:rFonts w:ascii="Times New Roman" w:hAnsi="Times New Roman" w:cs="Times New Roman"/>
        </w:rPr>
        <w:t>/2, 2019, p. 253-272.</w:t>
      </w:r>
    </w:p>
    <w:p w14:paraId="39B4F1D5" w14:textId="00109696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  <w:lang w:val="en-GB"/>
        </w:rPr>
      </w:pPr>
      <w:r w:rsidRPr="00D93466">
        <w:rPr>
          <w:color w:val="000000"/>
          <w:sz w:val="22"/>
          <w:szCs w:val="22"/>
        </w:rPr>
        <w:t>Boss, Marc, </w:t>
      </w:r>
      <w:r w:rsidRPr="00D93466">
        <w:rPr>
          <w:i/>
          <w:iCs/>
          <w:color w:val="000000"/>
          <w:sz w:val="22"/>
          <w:szCs w:val="22"/>
        </w:rPr>
        <w:t xml:space="preserve">Which Kant ? </w:t>
      </w:r>
      <w:r w:rsidRPr="00D93466">
        <w:rPr>
          <w:i/>
          <w:iCs/>
          <w:color w:val="000000"/>
          <w:sz w:val="22"/>
          <w:szCs w:val="22"/>
          <w:lang w:val="en-GB"/>
        </w:rPr>
        <w:t>Whose Idealisme ? Paul Tillich's Philosophical Training Reappraised</w:t>
      </w:r>
      <w:r w:rsidRPr="00D93466">
        <w:rPr>
          <w:color w:val="000000"/>
          <w:sz w:val="22"/>
          <w:szCs w:val="22"/>
          <w:lang w:val="en-GB"/>
        </w:rPr>
        <w:t>, dans Re Manning Russell, Shearn Samuel Andrew ed., Returning to Tillich: Theology and Legacy in Transition, De Gruyter, 2017, p. 13-30, Articles et actes dans des colloques et chapitres d'ouvrages, </w:t>
      </w:r>
      <w:r w:rsidRPr="00D93466">
        <w:rPr>
          <w:rStyle w:val="date-display-single"/>
          <w:color w:val="000000"/>
          <w:sz w:val="22"/>
          <w:szCs w:val="22"/>
          <w:lang w:val="en-GB"/>
        </w:rPr>
        <w:t>2017</w:t>
      </w:r>
    </w:p>
    <w:p w14:paraId="6DAE416E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93466">
        <w:rPr>
          <w:color w:val="000000"/>
          <w:sz w:val="22"/>
          <w:szCs w:val="22"/>
        </w:rPr>
        <w:t>Boss, Marc, «Ambiguïté de l'histoire et fonction missionnaire de l'Église : la teneur missiologique de la théologie des religions de Paul Tillich», dans Dumas Marc, Richard Jean, Wagoner Bryan ed., </w:t>
      </w:r>
      <w:r w:rsidRPr="00D93466">
        <w:rPr>
          <w:i/>
          <w:iCs/>
          <w:color w:val="000000"/>
          <w:sz w:val="22"/>
          <w:szCs w:val="22"/>
        </w:rPr>
        <w:t>21e colloque international de l'Association Paul Tillich d'expression française, Les ambiguïtés de la vie selon Paul Tillich, Sherbrooke, 10-13 août 2015</w:t>
      </w:r>
      <w:r w:rsidRPr="00D93466">
        <w:rPr>
          <w:color w:val="000000"/>
          <w:sz w:val="22"/>
          <w:szCs w:val="22"/>
        </w:rPr>
        <w:t>, Sherbrooke, De Gruyter (Tillich Research n°9), 2015, p. 291-304, Articles et actes dans des colloques et chapitres d'ouvrages, </w:t>
      </w:r>
      <w:r w:rsidRPr="00D93466">
        <w:rPr>
          <w:rStyle w:val="date-display-single"/>
          <w:color w:val="000000"/>
          <w:sz w:val="22"/>
          <w:szCs w:val="22"/>
        </w:rPr>
        <w:t>2015</w:t>
      </w:r>
    </w:p>
    <w:p w14:paraId="51111CFC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93466">
        <w:rPr>
          <w:color w:val="000000"/>
          <w:sz w:val="22"/>
          <w:szCs w:val="22"/>
        </w:rPr>
        <w:t>Boss, Marc, </w:t>
      </w:r>
      <w:r w:rsidRPr="00D93466">
        <w:rPr>
          <w:i/>
          <w:iCs/>
          <w:color w:val="000000"/>
          <w:sz w:val="22"/>
          <w:szCs w:val="22"/>
        </w:rPr>
        <w:t>Notice éditoriale : Genèse religieuse de l'état laïque</w:t>
      </w:r>
      <w:r w:rsidRPr="00D93466">
        <w:rPr>
          <w:color w:val="000000"/>
          <w:sz w:val="22"/>
          <w:szCs w:val="22"/>
        </w:rPr>
        <w:t>, dans Boss Marc ed., Genèse religieuse de l'État laïque : textes choisis de Roger Williams, Labor et Fides, 2014, p. 41-60, Articles et actes dans des colloques et chapitres d'ouvrages, </w:t>
      </w:r>
      <w:r w:rsidRPr="00D93466">
        <w:rPr>
          <w:rStyle w:val="date-display-single"/>
          <w:color w:val="000000"/>
          <w:sz w:val="22"/>
          <w:szCs w:val="22"/>
        </w:rPr>
        <w:t>2014</w:t>
      </w:r>
    </w:p>
    <w:p w14:paraId="1891CB7D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93466">
        <w:rPr>
          <w:color w:val="000000"/>
          <w:sz w:val="22"/>
          <w:szCs w:val="22"/>
        </w:rPr>
        <w:t>Boss, Marc, «Roger Williams : La neutralité religieuse de l'État», BIU_ART_VULG, 2014, p. 44-45, Articles et actes dans des colloques et chapitres d'ouvrages, </w:t>
      </w:r>
      <w:r w:rsidRPr="00D93466">
        <w:rPr>
          <w:rStyle w:val="date-display-single"/>
          <w:color w:val="000000"/>
          <w:sz w:val="22"/>
          <w:szCs w:val="22"/>
        </w:rPr>
        <w:t>2014</w:t>
      </w:r>
    </w:p>
    <w:p w14:paraId="2C382904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93466">
        <w:rPr>
          <w:color w:val="000000"/>
          <w:sz w:val="22"/>
          <w:szCs w:val="22"/>
        </w:rPr>
        <w:t>Boss, Marc, «George Fox, "Journal": L'égalitarisme social des Quakers», BIU_ART_VULG, 2014, p. 46-47, Articles et actes dans des colloques et chapitres d'ouvrages, </w:t>
      </w:r>
      <w:r w:rsidRPr="00D93466">
        <w:rPr>
          <w:rStyle w:val="date-display-single"/>
          <w:color w:val="000000"/>
          <w:sz w:val="22"/>
          <w:szCs w:val="22"/>
        </w:rPr>
        <w:t>2014</w:t>
      </w:r>
    </w:p>
    <w:p w14:paraId="4BA9E752" w14:textId="77777777" w:rsidR="00313EA8" w:rsidRPr="00D93466" w:rsidRDefault="00313EA8" w:rsidP="00D9346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621C09C" w14:textId="3C1F63B6" w:rsidR="00D93466" w:rsidRPr="00D93466" w:rsidRDefault="00D93466" w:rsidP="00D934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93466">
        <w:rPr>
          <w:rFonts w:ascii="Times New Roman" w:hAnsi="Times New Roman" w:cs="Times New Roman"/>
          <w:b/>
          <w:bCs/>
        </w:rPr>
        <w:t>Autres productions</w:t>
      </w:r>
    </w:p>
    <w:p w14:paraId="31EDA244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93466">
        <w:rPr>
          <w:color w:val="000000"/>
          <w:sz w:val="22"/>
          <w:szCs w:val="22"/>
        </w:rPr>
        <w:t>Boss, Marc, «Compte-rendu : Lauric Henneton, Histoire religieuse des États-Unis», BIU_CR_OUV, 2014, p. 107-110, Autres productions, </w:t>
      </w:r>
      <w:r w:rsidRPr="00D93466">
        <w:rPr>
          <w:rStyle w:val="date-display-single"/>
          <w:color w:val="000000"/>
          <w:sz w:val="22"/>
          <w:szCs w:val="22"/>
        </w:rPr>
        <w:t>2014</w:t>
      </w:r>
    </w:p>
    <w:p w14:paraId="0476DCE7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93466">
        <w:rPr>
          <w:color w:val="000000"/>
          <w:sz w:val="22"/>
          <w:szCs w:val="22"/>
        </w:rPr>
        <w:t>Boss, Marc, «La naissance de la modernité sous le signe de la methexis : Ernst Cassirer interprète du platonisme de Nicolas de Cues», OTHER, Études théologiques et religieuses, Montpellier, France, 2010, p. 371-386, Autres productions, </w:t>
      </w:r>
      <w:r w:rsidRPr="00D93466">
        <w:rPr>
          <w:rStyle w:val="date-display-single"/>
          <w:color w:val="000000"/>
          <w:sz w:val="22"/>
          <w:szCs w:val="22"/>
        </w:rPr>
        <w:t>2010</w:t>
      </w:r>
    </w:p>
    <w:p w14:paraId="5F05475C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  <w:lang w:val="en-GB"/>
        </w:rPr>
      </w:pPr>
      <w:r w:rsidRPr="00D93466">
        <w:rPr>
          <w:color w:val="000000"/>
          <w:sz w:val="22"/>
          <w:szCs w:val="22"/>
          <w:lang w:val="en-GB"/>
        </w:rPr>
        <w:t>Boss, Marc, «Paul Tillich and the Twentieth Century Fichte-Renaissance : Neo-Idealistic Features in his Early Accounts of Freedom and Existence», OTHER, The North American Paul Tillich Society, Santa Clara, États-Unis, 2010, p. 8-21, Autres productions, </w:t>
      </w:r>
      <w:r w:rsidRPr="00D93466">
        <w:rPr>
          <w:rStyle w:val="date-display-single"/>
          <w:color w:val="000000"/>
          <w:sz w:val="22"/>
          <w:szCs w:val="22"/>
          <w:lang w:val="en-GB"/>
        </w:rPr>
        <w:t>2010</w:t>
      </w:r>
    </w:p>
    <w:p w14:paraId="289C6363" w14:textId="77777777" w:rsidR="00D93466" w:rsidRPr="00D93466" w:rsidRDefault="00D93466" w:rsidP="00D93466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GB"/>
        </w:rPr>
      </w:pPr>
    </w:p>
    <w:p w14:paraId="7ED043BD" w14:textId="0A43D726" w:rsidR="00D93466" w:rsidRPr="00D93466" w:rsidRDefault="00D93466" w:rsidP="00D9346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D93466">
        <w:rPr>
          <w:rFonts w:ascii="Times New Roman" w:hAnsi="Times New Roman" w:cs="Times New Roman"/>
          <w:b/>
          <w:bCs/>
          <w:lang w:val="en-GB"/>
        </w:rPr>
        <w:t>Direction d’ouvrages</w:t>
      </w:r>
    </w:p>
    <w:p w14:paraId="06BDC24D" w14:textId="77777777" w:rsidR="00D93466" w:rsidRPr="00D93466" w:rsidRDefault="00D93466" w:rsidP="00D9346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93466">
        <w:rPr>
          <w:rFonts w:ascii="Times New Roman" w:hAnsi="Times New Roman" w:cs="Times New Roman"/>
        </w:rPr>
        <w:t>Boss, Marc, Dumas, Marc et Mathot, Benoît (éd.),</w:t>
      </w:r>
      <w:r w:rsidRPr="00D93466">
        <w:rPr>
          <w:rFonts w:ascii="Times New Roman" w:hAnsi="Times New Roman" w:cs="Times New Roman"/>
          <w:i/>
          <w:iCs/>
        </w:rPr>
        <w:t xml:space="preserve"> Paul Tillich et Paul Ricœur en dialogue</w:t>
      </w:r>
      <w:r w:rsidRPr="00D93466">
        <w:rPr>
          <w:rFonts w:ascii="Times New Roman" w:hAnsi="Times New Roman" w:cs="Times New Roman"/>
        </w:rPr>
        <w:t>, Berlin-Boston, De Gruyter, coll. « Tillich Research 22 », 2022.</w:t>
      </w:r>
    </w:p>
    <w:p w14:paraId="3F438B10" w14:textId="77777777" w:rsidR="00D93466" w:rsidRPr="00D93466" w:rsidRDefault="00D93466" w:rsidP="00D9346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93466">
        <w:rPr>
          <w:rFonts w:ascii="Times New Roman" w:hAnsi="Times New Roman" w:cs="Times New Roman"/>
        </w:rPr>
        <w:t xml:space="preserve">Boss, Marc, et Antier, Guilhen (éd.), </w:t>
      </w:r>
      <w:r w:rsidRPr="00D93466">
        <w:rPr>
          <w:rStyle w:val="Accentuation"/>
          <w:rFonts w:ascii="Times New Roman" w:hAnsi="Times New Roman" w:cs="Times New Roman"/>
        </w:rPr>
        <w:t>Variations du théologico-politique</w:t>
      </w:r>
      <w:r w:rsidRPr="00D93466">
        <w:rPr>
          <w:rFonts w:ascii="Times New Roman" w:hAnsi="Times New Roman" w:cs="Times New Roman"/>
          <w:i/>
          <w:iCs/>
        </w:rPr>
        <w:t>. Actes du colloque du CRES à Montpellier (9-10 mars 2018)</w:t>
      </w:r>
      <w:r w:rsidRPr="00D93466">
        <w:rPr>
          <w:rFonts w:ascii="Times New Roman" w:hAnsi="Times New Roman" w:cs="Times New Roman"/>
        </w:rPr>
        <w:t xml:space="preserve">, </w:t>
      </w:r>
      <w:r w:rsidRPr="00D93466">
        <w:rPr>
          <w:rStyle w:val="Accentuation"/>
          <w:rFonts w:ascii="Times New Roman" w:hAnsi="Times New Roman" w:cs="Times New Roman"/>
        </w:rPr>
        <w:t>Études théologiques et religieuses 94</w:t>
      </w:r>
      <w:r w:rsidRPr="00D93466">
        <w:rPr>
          <w:rFonts w:ascii="Times New Roman" w:hAnsi="Times New Roman" w:cs="Times New Roman"/>
        </w:rPr>
        <w:t>/2, 2019.</w:t>
      </w:r>
    </w:p>
    <w:p w14:paraId="2590CE35" w14:textId="77777777" w:rsidR="00D93466" w:rsidRPr="00D93466" w:rsidRDefault="00D93466" w:rsidP="00D9346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A3EBE0D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93466">
        <w:rPr>
          <w:color w:val="000000"/>
          <w:sz w:val="22"/>
          <w:szCs w:val="22"/>
        </w:rPr>
        <w:lastRenderedPageBreak/>
        <w:t>Boss, Marc, </w:t>
      </w:r>
      <w:r w:rsidRPr="00D93466">
        <w:rPr>
          <w:i/>
          <w:iCs/>
          <w:color w:val="000000"/>
          <w:sz w:val="22"/>
          <w:szCs w:val="22"/>
        </w:rPr>
        <w:t>Études théologiques et religieuses 89</w:t>
      </w:r>
      <w:r w:rsidRPr="00D93466">
        <w:rPr>
          <w:color w:val="000000"/>
          <w:sz w:val="22"/>
          <w:szCs w:val="22"/>
        </w:rPr>
        <w:t>, dans </w:t>
      </w:r>
      <w:r w:rsidRPr="00D93466">
        <w:rPr>
          <w:i/>
          <w:iCs/>
          <w:color w:val="000000"/>
          <w:sz w:val="22"/>
          <w:szCs w:val="22"/>
        </w:rPr>
        <w:t>Études théologiques et religieuses</w:t>
      </w:r>
      <w:r w:rsidRPr="00D93466">
        <w:rPr>
          <w:color w:val="000000"/>
          <w:sz w:val="22"/>
          <w:szCs w:val="22"/>
        </w:rPr>
        <w:t>, n°89, 2014, 142 p., Direction d'ouvrages, </w:t>
      </w:r>
      <w:r w:rsidRPr="00D93466">
        <w:rPr>
          <w:rStyle w:val="date-display-single"/>
          <w:color w:val="000000"/>
          <w:sz w:val="22"/>
          <w:szCs w:val="22"/>
        </w:rPr>
        <w:t>2014</w:t>
      </w:r>
    </w:p>
    <w:p w14:paraId="240DB830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93466">
        <w:rPr>
          <w:color w:val="000000"/>
          <w:sz w:val="22"/>
          <w:szCs w:val="22"/>
        </w:rPr>
        <w:t>Boss, Marc, </w:t>
      </w:r>
      <w:r w:rsidRPr="00D93466">
        <w:rPr>
          <w:i/>
          <w:iCs/>
          <w:color w:val="000000"/>
          <w:sz w:val="22"/>
          <w:szCs w:val="22"/>
        </w:rPr>
        <w:t>Études théologiques et religieuses 88</w:t>
      </w:r>
      <w:r w:rsidRPr="00D93466">
        <w:rPr>
          <w:color w:val="000000"/>
          <w:sz w:val="22"/>
          <w:szCs w:val="22"/>
        </w:rPr>
        <w:t>, dans </w:t>
      </w:r>
      <w:r w:rsidRPr="00D93466">
        <w:rPr>
          <w:i/>
          <w:iCs/>
          <w:color w:val="000000"/>
          <w:sz w:val="22"/>
          <w:szCs w:val="22"/>
        </w:rPr>
        <w:t>Études théologiques et religieuses</w:t>
      </w:r>
      <w:r w:rsidRPr="00D93466">
        <w:rPr>
          <w:color w:val="000000"/>
          <w:sz w:val="22"/>
          <w:szCs w:val="22"/>
        </w:rPr>
        <w:t>, n°88, 2013, 608 p., Direction d'ouvrages, </w:t>
      </w:r>
      <w:r w:rsidRPr="00D93466">
        <w:rPr>
          <w:rStyle w:val="date-display-single"/>
          <w:color w:val="000000"/>
          <w:sz w:val="22"/>
          <w:szCs w:val="22"/>
        </w:rPr>
        <w:t>2013</w:t>
      </w:r>
    </w:p>
    <w:p w14:paraId="3D5FDD82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93466">
        <w:rPr>
          <w:color w:val="000000"/>
          <w:sz w:val="22"/>
          <w:szCs w:val="22"/>
        </w:rPr>
        <w:t>Boss, Marc, </w:t>
      </w:r>
      <w:r w:rsidRPr="00D93466">
        <w:rPr>
          <w:i/>
          <w:iCs/>
          <w:color w:val="000000"/>
          <w:sz w:val="22"/>
          <w:szCs w:val="22"/>
        </w:rPr>
        <w:t>Études théologiques et religieuses 87</w:t>
      </w:r>
      <w:r w:rsidRPr="00D93466">
        <w:rPr>
          <w:color w:val="000000"/>
          <w:sz w:val="22"/>
          <w:szCs w:val="22"/>
        </w:rPr>
        <w:t>, dans </w:t>
      </w:r>
      <w:r w:rsidRPr="00D93466">
        <w:rPr>
          <w:i/>
          <w:iCs/>
          <w:color w:val="000000"/>
          <w:sz w:val="22"/>
          <w:szCs w:val="22"/>
        </w:rPr>
        <w:t>Études théologiques et religieuses</w:t>
      </w:r>
      <w:r w:rsidRPr="00D93466">
        <w:rPr>
          <w:color w:val="000000"/>
          <w:sz w:val="22"/>
          <w:szCs w:val="22"/>
        </w:rPr>
        <w:t>, n°87, 2012, 576 p., Direction d'ouvrages, </w:t>
      </w:r>
      <w:r w:rsidRPr="00D93466">
        <w:rPr>
          <w:rStyle w:val="date-display-single"/>
          <w:color w:val="000000"/>
          <w:sz w:val="22"/>
          <w:szCs w:val="22"/>
        </w:rPr>
        <w:t>2012</w:t>
      </w:r>
    </w:p>
    <w:p w14:paraId="21C1966D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93466">
        <w:rPr>
          <w:color w:val="000000"/>
          <w:sz w:val="22"/>
          <w:szCs w:val="22"/>
        </w:rPr>
        <w:t>Zorn, Jean-François,dir , Bolliger, Daniel,dir , Boss, Marc,dir , Hébert, Mireille,dir , </w:t>
      </w:r>
      <w:r w:rsidRPr="00D93466">
        <w:rPr>
          <w:i/>
          <w:iCs/>
          <w:color w:val="000000"/>
          <w:sz w:val="22"/>
          <w:szCs w:val="22"/>
        </w:rPr>
        <w:t>Jean Calvin : les visages multiples d'une réforme et de sa réception</w:t>
      </w:r>
      <w:r w:rsidRPr="00D93466">
        <w:rPr>
          <w:color w:val="000000"/>
          <w:sz w:val="22"/>
          <w:szCs w:val="22"/>
        </w:rPr>
        <w:t>, Lyon, Olivétan, 2009, 315 p., Direction d'ouvrages, </w:t>
      </w:r>
      <w:r w:rsidRPr="00D93466">
        <w:rPr>
          <w:rStyle w:val="date-display-single"/>
          <w:color w:val="000000"/>
          <w:sz w:val="22"/>
          <w:szCs w:val="22"/>
        </w:rPr>
        <w:t>2009</w:t>
      </w:r>
    </w:p>
    <w:p w14:paraId="38E8A5A8" w14:textId="77777777" w:rsidR="00D93466" w:rsidRPr="00D93466" w:rsidRDefault="00D93466" w:rsidP="00D9346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5DBBB1A7" w14:textId="4CDB7430" w:rsidR="00D93466" w:rsidRPr="00D93466" w:rsidRDefault="00D93466" w:rsidP="00D934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93466">
        <w:rPr>
          <w:rFonts w:ascii="Times New Roman" w:hAnsi="Times New Roman" w:cs="Times New Roman"/>
          <w:b/>
          <w:bCs/>
        </w:rPr>
        <w:t>Monographies</w:t>
      </w:r>
    </w:p>
    <w:p w14:paraId="2C9B4EEE" w14:textId="77777777" w:rsidR="00D93466" w:rsidRPr="00D93466" w:rsidRDefault="00D93466" w:rsidP="00D93466">
      <w:pPr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93466">
        <w:rPr>
          <w:rFonts w:ascii="Times New Roman" w:hAnsi="Times New Roman" w:cs="Times New Roman"/>
        </w:rPr>
        <w:t xml:space="preserve">Boss, Marc, traduction de Michael Walzer, « Un particularisme de mon cru », </w:t>
      </w:r>
      <w:r w:rsidRPr="00D93466">
        <w:rPr>
          <w:rFonts w:ascii="Times New Roman" w:hAnsi="Times New Roman" w:cs="Times New Roman"/>
          <w:i/>
        </w:rPr>
        <w:t>Évangile et liberté</w:t>
      </w:r>
      <w:r w:rsidRPr="00D93466">
        <w:rPr>
          <w:rFonts w:ascii="Times New Roman" w:hAnsi="Times New Roman" w:cs="Times New Roman"/>
        </w:rPr>
        <w:t xml:space="preserve"> 339, mai 2020, p. 13-18. Titre original : « A Particularism of My Own », </w:t>
      </w:r>
      <w:r w:rsidRPr="00D93466">
        <w:rPr>
          <w:rFonts w:ascii="Times New Roman" w:hAnsi="Times New Roman" w:cs="Times New Roman"/>
          <w:i/>
        </w:rPr>
        <w:t>Religious Studies Review</w:t>
      </w:r>
      <w:r w:rsidRPr="00D93466">
        <w:rPr>
          <w:rFonts w:ascii="Times New Roman" w:hAnsi="Times New Roman" w:cs="Times New Roman"/>
        </w:rPr>
        <w:t xml:space="preserve"> 16/3, juillet 1990, p. 193-197, traduit et annoté par M. Boss avec l’aimable autorisation de l’auteur.</w:t>
      </w:r>
    </w:p>
    <w:p w14:paraId="520D72F8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93466">
        <w:rPr>
          <w:color w:val="000000"/>
          <w:sz w:val="22"/>
          <w:szCs w:val="22"/>
        </w:rPr>
        <w:t>Gounelle, André, Boss, Marc, Richard, Jean, </w:t>
      </w:r>
      <w:r w:rsidRPr="00D93466">
        <w:rPr>
          <w:i/>
          <w:iCs/>
          <w:color w:val="000000"/>
          <w:sz w:val="22"/>
          <w:szCs w:val="22"/>
        </w:rPr>
        <w:t>Le christianisme et la rencontre des religions</w:t>
      </w:r>
      <w:r w:rsidRPr="00D93466">
        <w:rPr>
          <w:color w:val="000000"/>
          <w:sz w:val="22"/>
          <w:szCs w:val="22"/>
        </w:rPr>
        <w:t>, Labor et Fides, (Oeuvres de Paul Tillich 2015, 489 p., Monographies, </w:t>
      </w:r>
      <w:r w:rsidRPr="00D93466">
        <w:rPr>
          <w:rStyle w:val="date-display-single"/>
          <w:color w:val="000000"/>
          <w:sz w:val="22"/>
          <w:szCs w:val="22"/>
        </w:rPr>
        <w:t>2015</w:t>
      </w:r>
    </w:p>
    <w:p w14:paraId="69007473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93466">
        <w:rPr>
          <w:color w:val="000000"/>
          <w:sz w:val="22"/>
          <w:szCs w:val="22"/>
        </w:rPr>
        <w:t>Boss, Marc, </w:t>
      </w:r>
      <w:r w:rsidRPr="00D93466">
        <w:rPr>
          <w:i/>
          <w:iCs/>
          <w:color w:val="000000"/>
          <w:sz w:val="22"/>
          <w:szCs w:val="22"/>
        </w:rPr>
        <w:t>Au commencement la liberté : la religion de Kant réinventée par Fichte, Schelling et Tillich</w:t>
      </w:r>
      <w:r w:rsidRPr="00D93466">
        <w:rPr>
          <w:color w:val="000000"/>
          <w:sz w:val="22"/>
          <w:szCs w:val="22"/>
        </w:rPr>
        <w:t>, Labor et Fides, (Lieux théologiques 2014, 573 p., Monographies, </w:t>
      </w:r>
      <w:r w:rsidRPr="00D93466">
        <w:rPr>
          <w:rStyle w:val="date-display-single"/>
          <w:color w:val="000000"/>
          <w:sz w:val="22"/>
          <w:szCs w:val="22"/>
        </w:rPr>
        <w:t>2014</w:t>
      </w:r>
    </w:p>
    <w:p w14:paraId="5180503E" w14:textId="77777777" w:rsidR="00D93466" w:rsidRPr="00D93466" w:rsidRDefault="00D93466" w:rsidP="00D93466">
      <w:pPr>
        <w:pStyle w:val="views-row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93466">
        <w:rPr>
          <w:color w:val="000000"/>
          <w:sz w:val="22"/>
          <w:szCs w:val="22"/>
        </w:rPr>
        <w:t>Boss, Marc, </w:t>
      </w:r>
      <w:r w:rsidRPr="00D93466">
        <w:rPr>
          <w:i/>
          <w:iCs/>
          <w:color w:val="000000"/>
          <w:sz w:val="22"/>
          <w:szCs w:val="22"/>
        </w:rPr>
        <w:t>Genèse religieuse de l'État laïque : textes choisis de Roger Williams</w:t>
      </w:r>
      <w:r w:rsidRPr="00D93466">
        <w:rPr>
          <w:color w:val="000000"/>
          <w:sz w:val="22"/>
          <w:szCs w:val="22"/>
        </w:rPr>
        <w:t>, n°88), 2013, 201 p., Monographies, </w:t>
      </w:r>
      <w:r w:rsidRPr="00D93466">
        <w:rPr>
          <w:rStyle w:val="date-display-single"/>
          <w:color w:val="000000"/>
          <w:sz w:val="22"/>
          <w:szCs w:val="22"/>
        </w:rPr>
        <w:t>2013</w:t>
      </w:r>
    </w:p>
    <w:p w14:paraId="52ABD735" w14:textId="77777777" w:rsidR="00D93466" w:rsidRPr="00D93466" w:rsidRDefault="00D93466" w:rsidP="00D9346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sectPr w:rsidR="00D93466" w:rsidRPr="00D9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6C51"/>
    <w:multiLevelType w:val="multilevel"/>
    <w:tmpl w:val="4A3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A62A7"/>
    <w:multiLevelType w:val="multilevel"/>
    <w:tmpl w:val="FC22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52E98"/>
    <w:multiLevelType w:val="multilevel"/>
    <w:tmpl w:val="82C6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E73CF"/>
    <w:multiLevelType w:val="hybridMultilevel"/>
    <w:tmpl w:val="1AB25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D6F94"/>
    <w:multiLevelType w:val="multilevel"/>
    <w:tmpl w:val="9D2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34316">
    <w:abstractNumId w:val="4"/>
  </w:num>
  <w:num w:numId="2" w16cid:durableId="2103989172">
    <w:abstractNumId w:val="0"/>
  </w:num>
  <w:num w:numId="3" w16cid:durableId="1282495320">
    <w:abstractNumId w:val="1"/>
  </w:num>
  <w:num w:numId="4" w16cid:durableId="939794120">
    <w:abstractNumId w:val="2"/>
  </w:num>
  <w:num w:numId="5" w16cid:durableId="1667630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66"/>
    <w:rsid w:val="00313EA8"/>
    <w:rsid w:val="008819BF"/>
    <w:rsid w:val="0094096F"/>
    <w:rsid w:val="00B3635E"/>
    <w:rsid w:val="00D93466"/>
    <w:rsid w:val="00E8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6AAC"/>
  <w15:chartTrackingRefBased/>
  <w15:docId w15:val="{CCB8E469-236C-4B8A-9743-41C40E98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iews-row">
    <w:name w:val="views-row"/>
    <w:basedOn w:val="Normal"/>
    <w:rsid w:val="00D9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date-display-single">
    <w:name w:val="date-display-single"/>
    <w:basedOn w:val="Policepardfaut"/>
    <w:rsid w:val="00D93466"/>
  </w:style>
  <w:style w:type="paragraph" w:styleId="Paragraphedeliste">
    <w:name w:val="List Paragraph"/>
    <w:basedOn w:val="Normal"/>
    <w:uiPriority w:val="34"/>
    <w:qFormat/>
    <w:rsid w:val="00D93466"/>
    <w:pPr>
      <w:ind w:left="720"/>
      <w:contextualSpacing/>
    </w:pPr>
  </w:style>
  <w:style w:type="character" w:styleId="Accentuation">
    <w:name w:val="Emphasis"/>
    <w:uiPriority w:val="20"/>
    <w:qFormat/>
    <w:rsid w:val="00D93466"/>
    <w:rPr>
      <w:i/>
      <w:iCs/>
    </w:rPr>
  </w:style>
  <w:style w:type="paragraph" w:styleId="NormalWeb">
    <w:name w:val="Normal (Web)"/>
    <w:basedOn w:val="Normal"/>
    <w:uiPriority w:val="99"/>
    <w:unhideWhenUsed/>
    <w:rsid w:val="00D9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kerchove anna</dc:creator>
  <cp:keywords/>
  <dc:description/>
  <cp:lastModifiedBy>van den kerchove anna</cp:lastModifiedBy>
  <cp:revision>2</cp:revision>
  <dcterms:created xsi:type="dcterms:W3CDTF">2023-06-29T08:34:00Z</dcterms:created>
  <dcterms:modified xsi:type="dcterms:W3CDTF">2023-06-29T08:43:00Z</dcterms:modified>
</cp:coreProperties>
</file>