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page" w:tblpX="4633" w:tblpY="8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60825" w:rsidTr="00260825">
        <w:tc>
          <w:tcPr>
            <w:tcW w:w="4928" w:type="dxa"/>
          </w:tcPr>
          <w:p w:rsidR="002B6412" w:rsidRDefault="002B6412" w:rsidP="002B6412">
            <w:pPr>
              <w:jc w:val="right"/>
              <w:rPr>
                <w:b/>
                <w:bCs/>
                <w:iCs/>
                <w:sz w:val="32"/>
                <w:szCs w:val="24"/>
              </w:rPr>
            </w:pPr>
            <w:r>
              <w:rPr>
                <w:b/>
                <w:bCs/>
                <w:iCs/>
                <w:noProof/>
                <w:sz w:val="32"/>
                <w:szCs w:val="24"/>
                <w:lang w:eastAsia="fr-FR"/>
              </w:rPr>
              <w:drawing>
                <wp:inline distT="0" distB="0" distL="0" distR="0">
                  <wp:extent cx="1700218" cy="69249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ISTR_2012_2lign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38" cy="712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412" w:rsidRDefault="002B6412" w:rsidP="00260825">
            <w:pPr>
              <w:rPr>
                <w:b/>
                <w:bCs/>
                <w:iCs/>
                <w:sz w:val="32"/>
                <w:szCs w:val="24"/>
              </w:rPr>
            </w:pPr>
          </w:p>
          <w:p w:rsidR="00260825" w:rsidRPr="00EF472D" w:rsidRDefault="00260825" w:rsidP="00260825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 w:val="32"/>
                <w:szCs w:val="24"/>
              </w:rPr>
              <w:t xml:space="preserve"> </w:t>
            </w:r>
            <w:r w:rsidRPr="00EF472D">
              <w:rPr>
                <w:b/>
                <w:bCs/>
                <w:iCs/>
                <w:sz w:val="32"/>
                <w:szCs w:val="24"/>
              </w:rPr>
              <w:t xml:space="preserve">Appel à communication </w:t>
            </w:r>
          </w:p>
        </w:tc>
      </w:tr>
    </w:tbl>
    <w:p w:rsidR="00EF472D" w:rsidRDefault="00EF472D" w:rsidP="002B6412">
      <w:pPr>
        <w:rPr>
          <w:noProof/>
          <w:lang w:eastAsia="fr-FR"/>
        </w:rPr>
      </w:pPr>
      <w:bookmarkStart w:id="0" w:name="_GoBack"/>
      <w:bookmarkEnd w:id="0"/>
    </w:p>
    <w:p w:rsidR="002B6412" w:rsidRDefault="002B6412" w:rsidP="00D7336B">
      <w:pPr>
        <w:jc w:val="center"/>
        <w:rPr>
          <w:noProof/>
          <w:lang w:eastAsia="fr-FR"/>
        </w:rPr>
      </w:pPr>
    </w:p>
    <w:p w:rsidR="002B6412" w:rsidRDefault="002B6412" w:rsidP="002B6412">
      <w:pPr>
        <w:jc w:val="right"/>
        <w:rPr>
          <w:noProof/>
          <w:lang w:eastAsia="fr-FR"/>
        </w:rPr>
      </w:pPr>
      <w:r w:rsidRPr="00C47E10">
        <w:rPr>
          <w:rFonts w:cs="Times New Roman"/>
          <w:noProof/>
          <w:szCs w:val="24"/>
          <w:lang w:eastAsia="fr-FR"/>
        </w:rPr>
        <w:drawing>
          <wp:inline distT="0" distB="0" distL="0" distR="0" wp14:anchorId="28EEEE6D" wp14:editId="713D85BD">
            <wp:extent cx="1710902" cy="890607"/>
            <wp:effectExtent l="0" t="0" r="0" b="0"/>
            <wp:docPr id="4" name="Image 4" descr="Institut Catholique de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itut Catholique de Par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63" cy="89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412" w:rsidRDefault="002B6412" w:rsidP="00D7336B">
      <w:pPr>
        <w:jc w:val="center"/>
        <w:rPr>
          <w:noProof/>
          <w:lang w:eastAsia="fr-FR"/>
        </w:rPr>
      </w:pPr>
    </w:p>
    <w:p w:rsidR="002B6412" w:rsidRDefault="002B6412" w:rsidP="00D7336B">
      <w:pPr>
        <w:jc w:val="center"/>
        <w:rPr>
          <w:noProof/>
          <w:lang w:eastAsia="fr-FR"/>
        </w:rPr>
      </w:pPr>
    </w:p>
    <w:p w:rsidR="002B6412" w:rsidRDefault="002B6412" w:rsidP="00D7336B">
      <w:pPr>
        <w:jc w:val="center"/>
        <w:rPr>
          <w:b/>
          <w:sz w:val="28"/>
          <w:szCs w:val="24"/>
        </w:rPr>
      </w:pPr>
    </w:p>
    <w:p w:rsidR="00EF472D" w:rsidRDefault="00EF472D" w:rsidP="00D7336B">
      <w:pPr>
        <w:jc w:val="center"/>
        <w:rPr>
          <w:b/>
          <w:sz w:val="28"/>
          <w:szCs w:val="24"/>
        </w:rPr>
      </w:pPr>
    </w:p>
    <w:p w:rsidR="0091552C" w:rsidRPr="00011A9E" w:rsidRDefault="0091552C" w:rsidP="00D7336B">
      <w:pPr>
        <w:jc w:val="center"/>
        <w:rPr>
          <w:b/>
          <w:sz w:val="28"/>
          <w:szCs w:val="24"/>
        </w:rPr>
      </w:pPr>
      <w:r w:rsidRPr="00011A9E">
        <w:rPr>
          <w:b/>
          <w:sz w:val="28"/>
          <w:szCs w:val="24"/>
        </w:rPr>
        <w:t xml:space="preserve">Les doctrines religieuses </w:t>
      </w:r>
      <w:r w:rsidR="00D7336B" w:rsidRPr="00011A9E">
        <w:rPr>
          <w:b/>
          <w:sz w:val="28"/>
          <w:szCs w:val="24"/>
        </w:rPr>
        <w:t>sont-elles condamnées à s’opposer ?</w:t>
      </w:r>
    </w:p>
    <w:p w:rsidR="00D7336B" w:rsidRPr="00011A9E" w:rsidRDefault="00D7336B" w:rsidP="00D7336B">
      <w:pPr>
        <w:jc w:val="center"/>
        <w:rPr>
          <w:b/>
          <w:sz w:val="28"/>
          <w:szCs w:val="24"/>
        </w:rPr>
      </w:pPr>
      <w:r w:rsidRPr="00011A9E">
        <w:rPr>
          <w:b/>
          <w:sz w:val="28"/>
          <w:szCs w:val="24"/>
        </w:rPr>
        <w:t>Colloque d</w:t>
      </w:r>
      <w:r w:rsidR="0055479D" w:rsidRPr="00011A9E">
        <w:rPr>
          <w:b/>
          <w:sz w:val="28"/>
          <w:szCs w:val="24"/>
        </w:rPr>
        <w:t xml:space="preserve">es 11 et 12 </w:t>
      </w:r>
      <w:r w:rsidRPr="00011A9E">
        <w:rPr>
          <w:b/>
          <w:sz w:val="28"/>
          <w:szCs w:val="24"/>
        </w:rPr>
        <w:t>avril 2019 – ISTR</w:t>
      </w:r>
    </w:p>
    <w:p w:rsidR="00D7336B" w:rsidRPr="00011A9E" w:rsidRDefault="00D7336B">
      <w:pPr>
        <w:rPr>
          <w:bCs/>
          <w:i/>
          <w:iCs/>
          <w:szCs w:val="24"/>
        </w:rPr>
      </w:pPr>
    </w:p>
    <w:p w:rsidR="001A651F" w:rsidRPr="00011A9E" w:rsidRDefault="001A651F">
      <w:pPr>
        <w:rPr>
          <w:szCs w:val="24"/>
        </w:rPr>
      </w:pPr>
    </w:p>
    <w:p w:rsidR="001A6C4E" w:rsidRPr="00011A9E" w:rsidRDefault="0091552C" w:rsidP="003A561F">
      <w:pPr>
        <w:jc w:val="both"/>
        <w:rPr>
          <w:szCs w:val="24"/>
        </w:rPr>
      </w:pPr>
      <w:r w:rsidRPr="00011A9E">
        <w:rPr>
          <w:szCs w:val="24"/>
        </w:rPr>
        <w:t xml:space="preserve">Les religions sont-elles condamnées à s’opposer et </w:t>
      </w:r>
      <w:r w:rsidR="00D7336B" w:rsidRPr="00011A9E">
        <w:rPr>
          <w:szCs w:val="24"/>
        </w:rPr>
        <w:t xml:space="preserve">à </w:t>
      </w:r>
      <w:r w:rsidR="00C45BFA" w:rsidRPr="00011A9E">
        <w:rPr>
          <w:szCs w:val="24"/>
        </w:rPr>
        <w:t xml:space="preserve">être source </w:t>
      </w:r>
      <w:r w:rsidR="00192C4B" w:rsidRPr="00011A9E">
        <w:rPr>
          <w:szCs w:val="24"/>
        </w:rPr>
        <w:t xml:space="preserve">de conflits </w:t>
      </w:r>
      <w:r w:rsidRPr="00011A9E">
        <w:rPr>
          <w:szCs w:val="24"/>
        </w:rPr>
        <w:t xml:space="preserve">en raison de la diversité </w:t>
      </w:r>
      <w:r w:rsidR="00192C4B" w:rsidRPr="00011A9E">
        <w:rPr>
          <w:szCs w:val="24"/>
        </w:rPr>
        <w:t xml:space="preserve">et </w:t>
      </w:r>
      <w:r w:rsidRPr="00011A9E">
        <w:rPr>
          <w:szCs w:val="24"/>
        </w:rPr>
        <w:t xml:space="preserve">du caractère </w:t>
      </w:r>
      <w:r w:rsidR="00192C4B" w:rsidRPr="00011A9E">
        <w:rPr>
          <w:szCs w:val="24"/>
        </w:rPr>
        <w:t xml:space="preserve">souvent </w:t>
      </w:r>
      <w:r w:rsidRPr="00011A9E">
        <w:rPr>
          <w:szCs w:val="24"/>
        </w:rPr>
        <w:t>contradictoire de leurs doctrines</w:t>
      </w:r>
      <w:r w:rsidR="00FB4621" w:rsidRPr="00011A9E">
        <w:rPr>
          <w:szCs w:val="24"/>
        </w:rPr>
        <w:t xml:space="preserve"> ? </w:t>
      </w:r>
      <w:r w:rsidR="00AE0D22" w:rsidRPr="00011A9E">
        <w:rPr>
          <w:szCs w:val="24"/>
        </w:rPr>
        <w:t xml:space="preserve">Lorsqu’elles sont missionnaires et </w:t>
      </w:r>
      <w:r w:rsidR="00FD536D" w:rsidRPr="00011A9E">
        <w:rPr>
          <w:szCs w:val="24"/>
        </w:rPr>
        <w:t xml:space="preserve">prétendent détenir la vérité sur Dieu, le monde et l’homme, </w:t>
      </w:r>
      <w:r w:rsidR="00CB06AC" w:rsidRPr="00011A9E">
        <w:rPr>
          <w:szCs w:val="24"/>
        </w:rPr>
        <w:t>le caractère systématique de leurs énoncés théologiques et juridiques qui excluent les autres systèmes ne redouble-t-il pas ces conflits</w:t>
      </w:r>
      <w:r w:rsidR="00713465" w:rsidRPr="00011A9E">
        <w:rPr>
          <w:szCs w:val="24"/>
        </w:rPr>
        <w:t xml:space="preserve"> ? </w:t>
      </w:r>
      <w:r w:rsidR="00A22409" w:rsidRPr="00011A9E">
        <w:rPr>
          <w:szCs w:val="24"/>
        </w:rPr>
        <w:t>Comment d</w:t>
      </w:r>
      <w:r w:rsidR="000F4079" w:rsidRPr="00011A9E">
        <w:rPr>
          <w:szCs w:val="24"/>
        </w:rPr>
        <w:t>ans ces conditions</w:t>
      </w:r>
      <w:r w:rsidR="00A22409" w:rsidRPr="00011A9E">
        <w:rPr>
          <w:szCs w:val="24"/>
        </w:rPr>
        <w:t xml:space="preserve"> </w:t>
      </w:r>
      <w:r w:rsidR="00CB06AC" w:rsidRPr="00011A9E">
        <w:rPr>
          <w:szCs w:val="24"/>
        </w:rPr>
        <w:t>le</w:t>
      </w:r>
      <w:r w:rsidR="00790BE1" w:rsidRPr="00011A9E">
        <w:rPr>
          <w:szCs w:val="24"/>
        </w:rPr>
        <w:t xml:space="preserve"> </w:t>
      </w:r>
      <w:r w:rsidR="00593002" w:rsidRPr="00011A9E">
        <w:rPr>
          <w:szCs w:val="24"/>
        </w:rPr>
        <w:t xml:space="preserve">dialogue </w:t>
      </w:r>
      <w:r w:rsidR="000F4079" w:rsidRPr="00011A9E">
        <w:rPr>
          <w:szCs w:val="24"/>
        </w:rPr>
        <w:t xml:space="preserve">interreligieux </w:t>
      </w:r>
      <w:r w:rsidR="00CB06AC" w:rsidRPr="00011A9E">
        <w:rPr>
          <w:szCs w:val="24"/>
        </w:rPr>
        <w:t xml:space="preserve">pourrait-il aller </w:t>
      </w:r>
      <w:r w:rsidR="005E7EFC" w:rsidRPr="00011A9E">
        <w:rPr>
          <w:szCs w:val="24"/>
        </w:rPr>
        <w:t xml:space="preserve">au-delà des rencontres et du dialogue de vie ? </w:t>
      </w:r>
      <w:r w:rsidR="00A22409" w:rsidRPr="00011A9E">
        <w:rPr>
          <w:szCs w:val="24"/>
        </w:rPr>
        <w:t xml:space="preserve">Peut-on penser du point de vue </w:t>
      </w:r>
      <w:r w:rsidR="0058528B" w:rsidRPr="00011A9E">
        <w:rPr>
          <w:szCs w:val="24"/>
        </w:rPr>
        <w:t xml:space="preserve">théologique </w:t>
      </w:r>
      <w:r w:rsidRPr="00011A9E">
        <w:rPr>
          <w:szCs w:val="24"/>
        </w:rPr>
        <w:t xml:space="preserve">une </w:t>
      </w:r>
      <w:r w:rsidR="005E7EFC" w:rsidRPr="00011A9E">
        <w:rPr>
          <w:szCs w:val="24"/>
        </w:rPr>
        <w:t xml:space="preserve">ouverture à l’autre qui </w:t>
      </w:r>
      <w:r w:rsidR="00761651" w:rsidRPr="00011A9E">
        <w:rPr>
          <w:szCs w:val="24"/>
        </w:rPr>
        <w:t xml:space="preserve">assoie </w:t>
      </w:r>
      <w:r w:rsidR="00A22409" w:rsidRPr="00011A9E">
        <w:rPr>
          <w:szCs w:val="24"/>
        </w:rPr>
        <w:t>l’unité entre les religions</w:t>
      </w:r>
      <w:r w:rsidR="002542EE" w:rsidRPr="00011A9E">
        <w:rPr>
          <w:szCs w:val="24"/>
        </w:rPr>
        <w:t xml:space="preserve">, </w:t>
      </w:r>
      <w:r w:rsidR="00CB06AC" w:rsidRPr="00011A9E">
        <w:rPr>
          <w:szCs w:val="24"/>
        </w:rPr>
        <w:t>leur</w:t>
      </w:r>
      <w:r w:rsidR="00A22409" w:rsidRPr="00011A9E">
        <w:rPr>
          <w:szCs w:val="24"/>
        </w:rPr>
        <w:t xml:space="preserve"> </w:t>
      </w:r>
      <w:r w:rsidR="002542EE" w:rsidRPr="00011A9E">
        <w:rPr>
          <w:szCs w:val="24"/>
        </w:rPr>
        <w:t>communion</w:t>
      </w:r>
      <w:r w:rsidR="00A22409" w:rsidRPr="00011A9E">
        <w:rPr>
          <w:szCs w:val="24"/>
        </w:rPr>
        <w:t xml:space="preserve"> et </w:t>
      </w:r>
      <w:r w:rsidR="00CB06AC" w:rsidRPr="00011A9E">
        <w:rPr>
          <w:szCs w:val="24"/>
        </w:rPr>
        <w:t xml:space="preserve">leur </w:t>
      </w:r>
      <w:r w:rsidRPr="00011A9E">
        <w:rPr>
          <w:szCs w:val="24"/>
        </w:rPr>
        <w:t xml:space="preserve">réconciliation </w:t>
      </w:r>
      <w:r w:rsidR="00627DA5" w:rsidRPr="00011A9E">
        <w:rPr>
          <w:szCs w:val="24"/>
        </w:rPr>
        <w:t xml:space="preserve">au niveau de la doctrine </w:t>
      </w:r>
      <w:r w:rsidRPr="00011A9E">
        <w:rPr>
          <w:szCs w:val="24"/>
        </w:rPr>
        <w:t xml:space="preserve">sans </w:t>
      </w:r>
      <w:r w:rsidR="00CB06AC" w:rsidRPr="00011A9E">
        <w:rPr>
          <w:szCs w:val="24"/>
        </w:rPr>
        <w:t xml:space="preserve">obliger chacune à renoncer </w:t>
      </w:r>
      <w:r w:rsidR="001A6C4E" w:rsidRPr="00011A9E">
        <w:rPr>
          <w:szCs w:val="24"/>
        </w:rPr>
        <w:t>aux énoncés de sa foi</w:t>
      </w:r>
      <w:r w:rsidRPr="00011A9E">
        <w:rPr>
          <w:rStyle w:val="Appelnotedebasdep"/>
          <w:szCs w:val="24"/>
        </w:rPr>
        <w:footnoteReference w:id="1"/>
      </w:r>
      <w:r w:rsidRPr="00011A9E">
        <w:rPr>
          <w:szCs w:val="24"/>
        </w:rPr>
        <w:t xml:space="preserve"> ? </w:t>
      </w:r>
    </w:p>
    <w:p w:rsidR="00A22409" w:rsidRPr="00011A9E" w:rsidRDefault="00A22409" w:rsidP="003A561F">
      <w:pPr>
        <w:jc w:val="both"/>
        <w:rPr>
          <w:szCs w:val="24"/>
        </w:rPr>
      </w:pPr>
    </w:p>
    <w:p w:rsidR="007E54B6" w:rsidRPr="00011A9E" w:rsidRDefault="009D4E4C" w:rsidP="004F680A">
      <w:pPr>
        <w:jc w:val="both"/>
        <w:rPr>
          <w:szCs w:val="24"/>
        </w:rPr>
      </w:pPr>
      <w:r w:rsidRPr="00011A9E">
        <w:rPr>
          <w:szCs w:val="24"/>
        </w:rPr>
        <w:lastRenderedPageBreak/>
        <w:t xml:space="preserve">Face à </w:t>
      </w:r>
      <w:r w:rsidR="00A15326" w:rsidRPr="00011A9E">
        <w:rPr>
          <w:szCs w:val="24"/>
        </w:rPr>
        <w:t xml:space="preserve">une </w:t>
      </w:r>
      <w:r w:rsidR="00AA696C" w:rsidRPr="00011A9E">
        <w:rPr>
          <w:szCs w:val="24"/>
        </w:rPr>
        <w:t xml:space="preserve">lecture </w:t>
      </w:r>
      <w:r w:rsidR="00A15326" w:rsidRPr="00011A9E">
        <w:rPr>
          <w:szCs w:val="24"/>
        </w:rPr>
        <w:t xml:space="preserve">de la religion comme un ensemble </w:t>
      </w:r>
      <w:r w:rsidR="00AA696C" w:rsidRPr="00011A9E">
        <w:rPr>
          <w:szCs w:val="24"/>
        </w:rPr>
        <w:t xml:space="preserve">intangible </w:t>
      </w:r>
      <w:r w:rsidR="00A15326" w:rsidRPr="00011A9E">
        <w:rPr>
          <w:szCs w:val="24"/>
        </w:rPr>
        <w:t xml:space="preserve">de propositions </w:t>
      </w:r>
      <w:r w:rsidR="008E4CEE" w:rsidRPr="00011A9E">
        <w:rPr>
          <w:szCs w:val="24"/>
        </w:rPr>
        <w:t xml:space="preserve">informatives et normatives, </w:t>
      </w:r>
      <w:r w:rsidR="008465AF" w:rsidRPr="00011A9E">
        <w:rPr>
          <w:szCs w:val="24"/>
        </w:rPr>
        <w:t xml:space="preserve">conduisant à un schéma exclusiviste, </w:t>
      </w:r>
      <w:r w:rsidR="00287A50" w:rsidRPr="00011A9E">
        <w:rPr>
          <w:szCs w:val="24"/>
        </w:rPr>
        <w:t>d</w:t>
      </w:r>
      <w:r w:rsidRPr="00011A9E">
        <w:rPr>
          <w:szCs w:val="24"/>
        </w:rPr>
        <w:t xml:space="preserve">es </w:t>
      </w:r>
      <w:r w:rsidR="007D47E4" w:rsidRPr="00011A9E">
        <w:rPr>
          <w:szCs w:val="24"/>
        </w:rPr>
        <w:t>théologiens</w:t>
      </w:r>
      <w:r w:rsidR="00397789" w:rsidRPr="00011A9E">
        <w:rPr>
          <w:szCs w:val="24"/>
        </w:rPr>
        <w:t xml:space="preserve"> ont depuis le </w:t>
      </w:r>
      <w:r w:rsidR="00B43225" w:rsidRPr="00011A9E">
        <w:rPr>
          <w:szCs w:val="24"/>
        </w:rPr>
        <w:t xml:space="preserve">Concile Vatican II </w:t>
      </w:r>
      <w:r w:rsidR="00397789" w:rsidRPr="00011A9E">
        <w:rPr>
          <w:szCs w:val="24"/>
        </w:rPr>
        <w:t xml:space="preserve">proposé </w:t>
      </w:r>
      <w:r w:rsidR="00287A50" w:rsidRPr="00011A9E">
        <w:rPr>
          <w:szCs w:val="24"/>
        </w:rPr>
        <w:t xml:space="preserve">un modèle </w:t>
      </w:r>
      <w:r w:rsidR="007D47E4" w:rsidRPr="00011A9E">
        <w:rPr>
          <w:szCs w:val="24"/>
        </w:rPr>
        <w:t>pluraliste</w:t>
      </w:r>
      <w:r w:rsidR="005B7133" w:rsidRPr="00011A9E">
        <w:rPr>
          <w:szCs w:val="24"/>
        </w:rPr>
        <w:t>.</w:t>
      </w:r>
      <w:r w:rsidR="004F680A" w:rsidRPr="00011A9E">
        <w:rPr>
          <w:szCs w:val="24"/>
        </w:rPr>
        <w:t xml:space="preserve"> Ils ont cru reconnaître une même expérience de la transcendance, partagée par les différentes religions</w:t>
      </w:r>
      <w:r w:rsidR="00D714CA" w:rsidRPr="00011A9E">
        <w:rPr>
          <w:szCs w:val="24"/>
        </w:rPr>
        <w:t xml:space="preserve">. Cependant, </w:t>
      </w:r>
      <w:r w:rsidR="004F680A" w:rsidRPr="00011A9E">
        <w:rPr>
          <w:szCs w:val="24"/>
        </w:rPr>
        <w:t>cela les a conduits à relativiser les</w:t>
      </w:r>
      <w:r w:rsidR="00D714CA" w:rsidRPr="00011A9E">
        <w:rPr>
          <w:szCs w:val="24"/>
        </w:rPr>
        <w:t xml:space="preserve"> </w:t>
      </w:r>
      <w:r w:rsidR="00082A59" w:rsidRPr="00011A9E">
        <w:rPr>
          <w:szCs w:val="24"/>
        </w:rPr>
        <w:t xml:space="preserve">énoncés doctrinaux </w:t>
      </w:r>
      <w:r w:rsidR="0073097F" w:rsidRPr="00011A9E">
        <w:rPr>
          <w:szCs w:val="24"/>
        </w:rPr>
        <w:t xml:space="preserve">en en faisant </w:t>
      </w:r>
      <w:r w:rsidR="00286442" w:rsidRPr="00011A9E">
        <w:rPr>
          <w:szCs w:val="24"/>
        </w:rPr>
        <w:t xml:space="preserve">des expressions </w:t>
      </w:r>
      <w:r w:rsidR="008B3AAE" w:rsidRPr="00011A9E">
        <w:rPr>
          <w:szCs w:val="24"/>
        </w:rPr>
        <w:t xml:space="preserve">différentes </w:t>
      </w:r>
      <w:r w:rsidR="00286442" w:rsidRPr="00011A9E">
        <w:rPr>
          <w:szCs w:val="24"/>
        </w:rPr>
        <w:t xml:space="preserve">d’une expérience commune. </w:t>
      </w:r>
      <w:r w:rsidR="00D45C98" w:rsidRPr="00011A9E">
        <w:rPr>
          <w:szCs w:val="24"/>
        </w:rPr>
        <w:t xml:space="preserve">Mais ce modèle théologique </w:t>
      </w:r>
      <w:r w:rsidR="0073097F" w:rsidRPr="00011A9E">
        <w:rPr>
          <w:szCs w:val="24"/>
        </w:rPr>
        <w:t xml:space="preserve">a fait l’objet d’une remise en cause dans la mesure où il </w:t>
      </w:r>
      <w:r w:rsidR="003D56DB" w:rsidRPr="00011A9E">
        <w:rPr>
          <w:szCs w:val="24"/>
        </w:rPr>
        <w:t>n’honore pas les</w:t>
      </w:r>
      <w:r w:rsidR="003372EA" w:rsidRPr="00011A9E">
        <w:rPr>
          <w:szCs w:val="24"/>
        </w:rPr>
        <w:t xml:space="preserve"> </w:t>
      </w:r>
      <w:r w:rsidR="006C799B" w:rsidRPr="00011A9E">
        <w:rPr>
          <w:szCs w:val="24"/>
        </w:rPr>
        <w:t>noyau</w:t>
      </w:r>
      <w:r w:rsidR="003D56DB" w:rsidRPr="00011A9E">
        <w:rPr>
          <w:szCs w:val="24"/>
        </w:rPr>
        <w:t>x</w:t>
      </w:r>
      <w:r w:rsidR="006C799B" w:rsidRPr="00011A9E">
        <w:rPr>
          <w:szCs w:val="24"/>
        </w:rPr>
        <w:t xml:space="preserve"> </w:t>
      </w:r>
      <w:r w:rsidR="003D56DB" w:rsidRPr="00011A9E">
        <w:rPr>
          <w:szCs w:val="24"/>
        </w:rPr>
        <w:t>doctrinaux</w:t>
      </w:r>
      <w:r w:rsidR="0073097F" w:rsidRPr="00011A9E">
        <w:rPr>
          <w:szCs w:val="24"/>
        </w:rPr>
        <w:t xml:space="preserve"> de chaque religion</w:t>
      </w:r>
      <w:r w:rsidR="003D56DB" w:rsidRPr="00011A9E">
        <w:rPr>
          <w:szCs w:val="24"/>
        </w:rPr>
        <w:t xml:space="preserve">. </w:t>
      </w:r>
      <w:r w:rsidR="0073097F" w:rsidRPr="00011A9E">
        <w:rPr>
          <w:szCs w:val="24"/>
        </w:rPr>
        <w:t xml:space="preserve">Pour le </w:t>
      </w:r>
      <w:r w:rsidR="003D56DB" w:rsidRPr="00011A9E">
        <w:rPr>
          <w:szCs w:val="24"/>
        </w:rPr>
        <w:t xml:space="preserve">christianisme, il relativise </w:t>
      </w:r>
      <w:r w:rsidR="0073097F" w:rsidRPr="00011A9E">
        <w:rPr>
          <w:szCs w:val="24"/>
        </w:rPr>
        <w:t xml:space="preserve">indûment </w:t>
      </w:r>
      <w:r w:rsidR="007F51BC" w:rsidRPr="00011A9E">
        <w:rPr>
          <w:szCs w:val="24"/>
        </w:rPr>
        <w:t>la place du Christ</w:t>
      </w:r>
      <w:r w:rsidR="0073097F" w:rsidRPr="00011A9E">
        <w:rPr>
          <w:szCs w:val="24"/>
        </w:rPr>
        <w:t xml:space="preserve"> </w:t>
      </w:r>
      <w:r w:rsidR="007F51BC" w:rsidRPr="00011A9E">
        <w:rPr>
          <w:szCs w:val="24"/>
        </w:rPr>
        <w:t xml:space="preserve">comme unique Médiateur. </w:t>
      </w:r>
    </w:p>
    <w:p w:rsidR="00E962F8" w:rsidRPr="00011A9E" w:rsidRDefault="00E962F8" w:rsidP="003A561F">
      <w:pPr>
        <w:jc w:val="both"/>
        <w:rPr>
          <w:szCs w:val="24"/>
        </w:rPr>
      </w:pPr>
    </w:p>
    <w:p w:rsidR="00FA4660" w:rsidRPr="00011A9E" w:rsidRDefault="00397789" w:rsidP="00397789">
      <w:pPr>
        <w:jc w:val="both"/>
        <w:rPr>
          <w:szCs w:val="24"/>
        </w:rPr>
      </w:pPr>
      <w:r w:rsidRPr="00011A9E">
        <w:rPr>
          <w:szCs w:val="24"/>
        </w:rPr>
        <w:t>Au-delà des modèles exclusivistes, c</w:t>
      </w:r>
      <w:r w:rsidR="007E54B6" w:rsidRPr="00011A9E">
        <w:rPr>
          <w:szCs w:val="24"/>
        </w:rPr>
        <w:t xml:space="preserve">omment </w:t>
      </w:r>
      <w:r w:rsidR="00507C87" w:rsidRPr="00011A9E">
        <w:rPr>
          <w:szCs w:val="24"/>
        </w:rPr>
        <w:t xml:space="preserve">alors avancer </w:t>
      </w:r>
      <w:r w:rsidR="007E54B6" w:rsidRPr="00011A9E">
        <w:rPr>
          <w:szCs w:val="24"/>
        </w:rPr>
        <w:t xml:space="preserve">une théologie des religions qui permette d’asseoir et de promouvoir un dialogue interreligieux sans </w:t>
      </w:r>
      <w:r w:rsidR="00D53922" w:rsidRPr="00011A9E">
        <w:rPr>
          <w:szCs w:val="24"/>
        </w:rPr>
        <w:t xml:space="preserve">tomber </w:t>
      </w:r>
      <w:r w:rsidR="00C94604" w:rsidRPr="00011A9E">
        <w:rPr>
          <w:szCs w:val="24"/>
        </w:rPr>
        <w:t xml:space="preserve">ni </w:t>
      </w:r>
      <w:r w:rsidR="00310731" w:rsidRPr="00011A9E">
        <w:rPr>
          <w:szCs w:val="24"/>
        </w:rPr>
        <w:t xml:space="preserve">dans </w:t>
      </w:r>
      <w:r w:rsidR="00855017" w:rsidRPr="00011A9E">
        <w:rPr>
          <w:szCs w:val="24"/>
        </w:rPr>
        <w:t>l’</w:t>
      </w:r>
      <w:r w:rsidR="00D53922" w:rsidRPr="00011A9E">
        <w:rPr>
          <w:szCs w:val="24"/>
        </w:rPr>
        <w:t xml:space="preserve">annexion </w:t>
      </w:r>
      <w:r w:rsidR="00855017" w:rsidRPr="00011A9E">
        <w:rPr>
          <w:szCs w:val="24"/>
        </w:rPr>
        <w:t xml:space="preserve">de l’autre </w:t>
      </w:r>
      <w:r w:rsidR="00D53922" w:rsidRPr="00011A9E">
        <w:rPr>
          <w:szCs w:val="24"/>
        </w:rPr>
        <w:t>(Daniélou et la théorie de l’accomplissement ou Rahner et les chrétiens anonymes)</w:t>
      </w:r>
      <w:r w:rsidR="004F680A" w:rsidRPr="00011A9E">
        <w:rPr>
          <w:szCs w:val="24"/>
        </w:rPr>
        <w:t>, bien dénoncée par exemple par E. Levinas comme dévoration de l’autre par l’</w:t>
      </w:r>
      <w:r w:rsidR="004F680A" w:rsidRPr="00011A9E">
        <w:rPr>
          <w:i/>
          <w:iCs/>
          <w:szCs w:val="24"/>
        </w:rPr>
        <w:t>ego</w:t>
      </w:r>
      <w:r w:rsidR="004F680A" w:rsidRPr="00011A9E">
        <w:rPr>
          <w:szCs w:val="24"/>
        </w:rPr>
        <w:t xml:space="preserve">, </w:t>
      </w:r>
      <w:r w:rsidR="00D53922" w:rsidRPr="00011A9E">
        <w:rPr>
          <w:szCs w:val="24"/>
        </w:rPr>
        <w:t>ni dans la relativisation du spécifique</w:t>
      </w:r>
      <w:r w:rsidR="00E23B04" w:rsidRPr="00011A9E">
        <w:rPr>
          <w:szCs w:val="24"/>
        </w:rPr>
        <w:t xml:space="preserve"> de chaque religion </w:t>
      </w:r>
      <w:r w:rsidR="00F846F1" w:rsidRPr="00011A9E">
        <w:rPr>
          <w:szCs w:val="24"/>
        </w:rPr>
        <w:t xml:space="preserve">(approche pluraliste) </w:t>
      </w:r>
      <w:r w:rsidR="00E23B04" w:rsidRPr="00011A9E">
        <w:rPr>
          <w:szCs w:val="24"/>
        </w:rPr>
        <w:t xml:space="preserve">? </w:t>
      </w:r>
      <w:r w:rsidRPr="00011A9E">
        <w:rPr>
          <w:szCs w:val="24"/>
        </w:rPr>
        <w:t xml:space="preserve">Peut-on penser un « lieu-tiers » </w:t>
      </w:r>
      <w:r w:rsidR="00FA4660" w:rsidRPr="00011A9E">
        <w:rPr>
          <w:szCs w:val="24"/>
        </w:rPr>
        <w:t xml:space="preserve">ou un langage neutre, ou un </w:t>
      </w:r>
      <w:r w:rsidR="00FA4660" w:rsidRPr="00011A9E">
        <w:rPr>
          <w:i/>
          <w:iCs/>
          <w:szCs w:val="24"/>
        </w:rPr>
        <w:t xml:space="preserve">divine </w:t>
      </w:r>
      <w:proofErr w:type="spellStart"/>
      <w:r w:rsidR="00FA4660" w:rsidRPr="00011A9E">
        <w:rPr>
          <w:i/>
          <w:iCs/>
          <w:szCs w:val="24"/>
        </w:rPr>
        <w:t>eye-view</w:t>
      </w:r>
      <w:proofErr w:type="spellEnd"/>
      <w:r w:rsidR="00FA4660" w:rsidRPr="00011A9E">
        <w:rPr>
          <w:szCs w:val="24"/>
        </w:rPr>
        <w:t xml:space="preserve"> pour réconcilier les religions (pluralisme libéral) ou </w:t>
      </w:r>
      <w:r w:rsidRPr="00011A9E">
        <w:rPr>
          <w:szCs w:val="24"/>
        </w:rPr>
        <w:t xml:space="preserve">convient-il </w:t>
      </w:r>
      <w:r w:rsidR="00FA4660" w:rsidRPr="00011A9E">
        <w:rPr>
          <w:szCs w:val="24"/>
        </w:rPr>
        <w:t>de s’y opposer absolument pour accepter le caractère fragmenté de nos situations respectives</w:t>
      </w:r>
      <w:r w:rsidRPr="00011A9E">
        <w:rPr>
          <w:rStyle w:val="Appelnotedebasdep"/>
          <w:szCs w:val="24"/>
        </w:rPr>
        <w:footnoteReference w:id="2"/>
      </w:r>
      <w:r w:rsidRPr="00011A9E">
        <w:rPr>
          <w:szCs w:val="24"/>
        </w:rPr>
        <w:t xml:space="preserve"> ? </w:t>
      </w:r>
    </w:p>
    <w:p w:rsidR="005A20E1" w:rsidRPr="00011A9E" w:rsidRDefault="005A20E1" w:rsidP="003A561F">
      <w:pPr>
        <w:jc w:val="both"/>
        <w:rPr>
          <w:szCs w:val="24"/>
        </w:rPr>
      </w:pPr>
    </w:p>
    <w:p w:rsidR="002B2A1D" w:rsidRPr="00011A9E" w:rsidRDefault="0099337A" w:rsidP="003A561F">
      <w:pPr>
        <w:jc w:val="both"/>
        <w:rPr>
          <w:szCs w:val="24"/>
        </w:rPr>
      </w:pPr>
      <w:r w:rsidRPr="00011A9E">
        <w:rPr>
          <w:szCs w:val="24"/>
        </w:rPr>
        <w:lastRenderedPageBreak/>
        <w:t xml:space="preserve">Pour </w:t>
      </w:r>
      <w:r w:rsidR="00F846F1" w:rsidRPr="00011A9E">
        <w:rPr>
          <w:szCs w:val="24"/>
        </w:rPr>
        <w:t xml:space="preserve">envisager </w:t>
      </w:r>
      <w:r w:rsidR="00342625" w:rsidRPr="00011A9E">
        <w:rPr>
          <w:szCs w:val="24"/>
        </w:rPr>
        <w:t>ces questions</w:t>
      </w:r>
      <w:r w:rsidR="00262335" w:rsidRPr="00011A9E">
        <w:rPr>
          <w:szCs w:val="24"/>
        </w:rPr>
        <w:t xml:space="preserve"> fondamentales</w:t>
      </w:r>
      <w:r w:rsidR="002A4A46" w:rsidRPr="00011A9E">
        <w:rPr>
          <w:szCs w:val="24"/>
        </w:rPr>
        <w:t xml:space="preserve"> qui </w:t>
      </w:r>
      <w:r w:rsidR="00DC50CD" w:rsidRPr="00011A9E">
        <w:rPr>
          <w:szCs w:val="24"/>
        </w:rPr>
        <w:t xml:space="preserve">concernent </w:t>
      </w:r>
      <w:r w:rsidR="002A4A46" w:rsidRPr="00011A9E">
        <w:rPr>
          <w:szCs w:val="24"/>
        </w:rPr>
        <w:t>tous les acteurs impliqués dans le dialogue interreligieux</w:t>
      </w:r>
      <w:r w:rsidR="004F680A" w:rsidRPr="00011A9E">
        <w:rPr>
          <w:szCs w:val="24"/>
        </w:rPr>
        <w:t xml:space="preserve"> ou la théologie du pluralisme religieux</w:t>
      </w:r>
      <w:r w:rsidR="005A20E1" w:rsidRPr="00011A9E">
        <w:rPr>
          <w:szCs w:val="24"/>
        </w:rPr>
        <w:t xml:space="preserve">, </w:t>
      </w:r>
      <w:r w:rsidR="00342625" w:rsidRPr="00011A9E">
        <w:rPr>
          <w:szCs w:val="24"/>
        </w:rPr>
        <w:t>notre colloque se propose d</w:t>
      </w:r>
      <w:r w:rsidR="009D7528" w:rsidRPr="00011A9E">
        <w:rPr>
          <w:szCs w:val="24"/>
        </w:rPr>
        <w:t xml:space="preserve">’interroger </w:t>
      </w:r>
      <w:r w:rsidR="00333DE3" w:rsidRPr="00011A9E">
        <w:rPr>
          <w:szCs w:val="24"/>
        </w:rPr>
        <w:t xml:space="preserve">le </w:t>
      </w:r>
      <w:r w:rsidR="00787B24" w:rsidRPr="00011A9E">
        <w:rPr>
          <w:szCs w:val="24"/>
        </w:rPr>
        <w:t xml:space="preserve">théologien luthérien George Lindbeck </w:t>
      </w:r>
      <w:r w:rsidR="009046FD" w:rsidRPr="00011A9E">
        <w:rPr>
          <w:szCs w:val="24"/>
        </w:rPr>
        <w:t>et d</w:t>
      </w:r>
      <w:r w:rsidR="009D7528" w:rsidRPr="00011A9E">
        <w:rPr>
          <w:szCs w:val="24"/>
        </w:rPr>
        <w:t xml:space="preserve">’évaluer si </w:t>
      </w:r>
      <w:r w:rsidR="009046FD" w:rsidRPr="00011A9E">
        <w:rPr>
          <w:szCs w:val="24"/>
        </w:rPr>
        <w:t xml:space="preserve">les </w:t>
      </w:r>
      <w:r w:rsidR="00333DE3" w:rsidRPr="00011A9E">
        <w:rPr>
          <w:szCs w:val="24"/>
        </w:rPr>
        <w:t xml:space="preserve">principes </w:t>
      </w:r>
      <w:r w:rsidR="006E523D" w:rsidRPr="00011A9E">
        <w:rPr>
          <w:szCs w:val="24"/>
        </w:rPr>
        <w:t xml:space="preserve">qu’il </w:t>
      </w:r>
      <w:r w:rsidR="009046FD" w:rsidRPr="00011A9E">
        <w:rPr>
          <w:szCs w:val="24"/>
        </w:rPr>
        <w:t>avanc</w:t>
      </w:r>
      <w:r w:rsidR="006E523D" w:rsidRPr="00011A9E">
        <w:rPr>
          <w:szCs w:val="24"/>
        </w:rPr>
        <w:t xml:space="preserve">e pour repenser l’œcuménisme </w:t>
      </w:r>
      <w:r w:rsidR="00333DE3" w:rsidRPr="00011A9E">
        <w:rPr>
          <w:szCs w:val="24"/>
        </w:rPr>
        <w:t xml:space="preserve">sont transposables au niveau de l’inter-religieux. </w:t>
      </w:r>
      <w:r w:rsidR="00690145" w:rsidRPr="00011A9E">
        <w:rPr>
          <w:szCs w:val="24"/>
        </w:rPr>
        <w:t xml:space="preserve">En effet, conscient de l’enjeu des différences doctrinales </w:t>
      </w:r>
      <w:r w:rsidR="001230CE" w:rsidRPr="00011A9E">
        <w:rPr>
          <w:szCs w:val="24"/>
        </w:rPr>
        <w:t>entre les églises chrétiennes</w:t>
      </w:r>
      <w:r w:rsidR="00690145" w:rsidRPr="00011A9E">
        <w:rPr>
          <w:szCs w:val="24"/>
        </w:rPr>
        <w:t xml:space="preserve">, </w:t>
      </w:r>
      <w:r w:rsidR="00B64359" w:rsidRPr="00011A9E">
        <w:rPr>
          <w:szCs w:val="24"/>
        </w:rPr>
        <w:t xml:space="preserve">Lindbeck </w:t>
      </w:r>
      <w:r w:rsidR="00E33933" w:rsidRPr="00011A9E">
        <w:rPr>
          <w:szCs w:val="24"/>
        </w:rPr>
        <w:t xml:space="preserve">a questionné la </w:t>
      </w:r>
      <w:r w:rsidR="00B64359" w:rsidRPr="00011A9E">
        <w:rPr>
          <w:szCs w:val="24"/>
        </w:rPr>
        <w:t xml:space="preserve">nature d’une doctrine </w:t>
      </w:r>
      <w:r w:rsidR="00253ABA" w:rsidRPr="00011A9E">
        <w:rPr>
          <w:szCs w:val="24"/>
        </w:rPr>
        <w:t xml:space="preserve">et a </w:t>
      </w:r>
      <w:r w:rsidR="000014BF" w:rsidRPr="00011A9E">
        <w:rPr>
          <w:szCs w:val="24"/>
        </w:rPr>
        <w:t>propos</w:t>
      </w:r>
      <w:r w:rsidR="00253ABA" w:rsidRPr="00011A9E">
        <w:rPr>
          <w:szCs w:val="24"/>
        </w:rPr>
        <w:t>é</w:t>
      </w:r>
      <w:r w:rsidR="000014BF" w:rsidRPr="00011A9E">
        <w:rPr>
          <w:szCs w:val="24"/>
        </w:rPr>
        <w:t xml:space="preserve"> un modèle </w:t>
      </w:r>
      <w:r w:rsidR="00E33933" w:rsidRPr="00011A9E">
        <w:rPr>
          <w:szCs w:val="24"/>
        </w:rPr>
        <w:t xml:space="preserve">post-libéral </w:t>
      </w:r>
      <w:r w:rsidR="00703EB5" w:rsidRPr="00011A9E">
        <w:rPr>
          <w:szCs w:val="24"/>
        </w:rPr>
        <w:t>privilégiant la praxis</w:t>
      </w:r>
      <w:r w:rsidR="000E48E6" w:rsidRPr="00011A9E">
        <w:rPr>
          <w:szCs w:val="24"/>
        </w:rPr>
        <w:t xml:space="preserve">, l’articulation entre l’action et le langage, </w:t>
      </w:r>
      <w:r w:rsidR="00C3251A" w:rsidRPr="00011A9E">
        <w:rPr>
          <w:szCs w:val="24"/>
        </w:rPr>
        <w:t>la réactivation et la réadaptation constante</w:t>
      </w:r>
      <w:r w:rsidR="002D729C" w:rsidRPr="00011A9E">
        <w:rPr>
          <w:szCs w:val="24"/>
        </w:rPr>
        <w:t xml:space="preserve"> des identités</w:t>
      </w:r>
      <w:r w:rsidR="00E55EAE" w:rsidRPr="00011A9E">
        <w:rPr>
          <w:szCs w:val="24"/>
        </w:rPr>
        <w:t xml:space="preserve">. Il a </w:t>
      </w:r>
      <w:r w:rsidR="00213B44" w:rsidRPr="00011A9E">
        <w:rPr>
          <w:szCs w:val="24"/>
        </w:rPr>
        <w:t>propos</w:t>
      </w:r>
      <w:r w:rsidR="00E55EAE" w:rsidRPr="00011A9E">
        <w:rPr>
          <w:szCs w:val="24"/>
        </w:rPr>
        <w:t>é</w:t>
      </w:r>
      <w:r w:rsidR="00213B44" w:rsidRPr="00011A9E">
        <w:rPr>
          <w:szCs w:val="24"/>
        </w:rPr>
        <w:t xml:space="preserve"> une approche </w:t>
      </w:r>
      <w:proofErr w:type="spellStart"/>
      <w:r w:rsidR="00213B44" w:rsidRPr="00011A9E">
        <w:rPr>
          <w:szCs w:val="24"/>
        </w:rPr>
        <w:t>culturo</w:t>
      </w:r>
      <w:proofErr w:type="spellEnd"/>
      <w:r w:rsidR="00213B44" w:rsidRPr="00011A9E">
        <w:rPr>
          <w:szCs w:val="24"/>
        </w:rPr>
        <w:t xml:space="preserve">-linguistique qui permet </w:t>
      </w:r>
      <w:r w:rsidR="00397789" w:rsidRPr="00011A9E">
        <w:rPr>
          <w:szCs w:val="24"/>
        </w:rPr>
        <w:t xml:space="preserve">de penser et construire l’œcuménisme. </w:t>
      </w:r>
      <w:r w:rsidR="00213B44" w:rsidRPr="00011A9E">
        <w:rPr>
          <w:szCs w:val="24"/>
        </w:rPr>
        <w:t>S</w:t>
      </w:r>
      <w:r w:rsidR="009046FD" w:rsidRPr="00011A9E">
        <w:rPr>
          <w:szCs w:val="24"/>
        </w:rPr>
        <w:t xml:space="preserve">elon Lindbeck lui-même, </w:t>
      </w:r>
      <w:r w:rsidR="00761651" w:rsidRPr="00011A9E">
        <w:rPr>
          <w:szCs w:val="24"/>
        </w:rPr>
        <w:t xml:space="preserve">pour être vrai, </w:t>
      </w:r>
      <w:r w:rsidR="00397789" w:rsidRPr="00011A9E">
        <w:rPr>
          <w:szCs w:val="24"/>
        </w:rPr>
        <w:t xml:space="preserve">son approche doit aussi se confronter à la question du pluralisme religieux. </w:t>
      </w:r>
      <w:r w:rsidR="009046FD" w:rsidRPr="00011A9E">
        <w:rPr>
          <w:szCs w:val="24"/>
        </w:rPr>
        <w:t xml:space="preserve">Il s’agira donc </w:t>
      </w:r>
      <w:r w:rsidR="00C07309" w:rsidRPr="00011A9E">
        <w:rPr>
          <w:szCs w:val="24"/>
        </w:rPr>
        <w:t xml:space="preserve">d’approcher </w:t>
      </w:r>
      <w:r w:rsidR="00377CC3" w:rsidRPr="00011A9E">
        <w:rPr>
          <w:szCs w:val="24"/>
        </w:rPr>
        <w:t xml:space="preserve">la théologie de Lindbeck </w:t>
      </w:r>
      <w:r w:rsidR="00A66DD7" w:rsidRPr="00011A9E">
        <w:rPr>
          <w:szCs w:val="24"/>
        </w:rPr>
        <w:t xml:space="preserve">et </w:t>
      </w:r>
      <w:r w:rsidR="00407972" w:rsidRPr="00011A9E">
        <w:rPr>
          <w:szCs w:val="24"/>
        </w:rPr>
        <w:t xml:space="preserve">d’interroger </w:t>
      </w:r>
      <w:r w:rsidR="00751237" w:rsidRPr="00011A9E">
        <w:rPr>
          <w:szCs w:val="24"/>
        </w:rPr>
        <w:t xml:space="preserve">sa méthode, son </w:t>
      </w:r>
      <w:r w:rsidR="00DE30F2" w:rsidRPr="00011A9E">
        <w:rPr>
          <w:szCs w:val="24"/>
        </w:rPr>
        <w:t xml:space="preserve">épistémologie, </w:t>
      </w:r>
      <w:r w:rsidR="00407972" w:rsidRPr="00011A9E">
        <w:rPr>
          <w:szCs w:val="24"/>
        </w:rPr>
        <w:t xml:space="preserve">le </w:t>
      </w:r>
      <w:r w:rsidR="005075F8" w:rsidRPr="00011A9E">
        <w:rPr>
          <w:szCs w:val="24"/>
        </w:rPr>
        <w:t>cadre anthropologique et philosophique</w:t>
      </w:r>
      <w:r w:rsidR="00407972" w:rsidRPr="00011A9E">
        <w:rPr>
          <w:szCs w:val="24"/>
        </w:rPr>
        <w:t xml:space="preserve"> proposé</w:t>
      </w:r>
      <w:r w:rsidR="005075F8" w:rsidRPr="00011A9E">
        <w:rPr>
          <w:szCs w:val="24"/>
        </w:rPr>
        <w:t xml:space="preserve">, </w:t>
      </w:r>
      <w:r w:rsidR="00407972" w:rsidRPr="00011A9E">
        <w:rPr>
          <w:szCs w:val="24"/>
        </w:rPr>
        <w:t xml:space="preserve">pour </w:t>
      </w:r>
      <w:r w:rsidR="00751237" w:rsidRPr="00011A9E">
        <w:rPr>
          <w:szCs w:val="24"/>
        </w:rPr>
        <w:t xml:space="preserve">penser </w:t>
      </w:r>
      <w:r w:rsidR="00DE30F2" w:rsidRPr="00011A9E">
        <w:rPr>
          <w:szCs w:val="24"/>
        </w:rPr>
        <w:t xml:space="preserve">les différences doctrinales entre </w:t>
      </w:r>
      <w:r w:rsidR="00407972" w:rsidRPr="00011A9E">
        <w:rPr>
          <w:szCs w:val="24"/>
        </w:rPr>
        <w:t xml:space="preserve">les </w:t>
      </w:r>
      <w:r w:rsidR="00DE30F2" w:rsidRPr="00011A9E">
        <w:rPr>
          <w:szCs w:val="24"/>
        </w:rPr>
        <w:t xml:space="preserve">différentes religions comme </w:t>
      </w:r>
      <w:r w:rsidR="007130C8" w:rsidRPr="00011A9E">
        <w:rPr>
          <w:szCs w:val="24"/>
        </w:rPr>
        <w:t>des ressources garante</w:t>
      </w:r>
      <w:r w:rsidR="00FF4E97" w:rsidRPr="00011A9E">
        <w:rPr>
          <w:szCs w:val="24"/>
        </w:rPr>
        <w:t>s</w:t>
      </w:r>
      <w:r w:rsidR="007130C8" w:rsidRPr="00011A9E">
        <w:rPr>
          <w:szCs w:val="24"/>
        </w:rPr>
        <w:t xml:space="preserve"> d’une fécondité qui permet </w:t>
      </w:r>
      <w:r w:rsidR="00910893" w:rsidRPr="00011A9E">
        <w:rPr>
          <w:szCs w:val="24"/>
        </w:rPr>
        <w:t xml:space="preserve">à chaque religion de se </w:t>
      </w:r>
      <w:r w:rsidR="00407972" w:rsidRPr="00011A9E">
        <w:rPr>
          <w:szCs w:val="24"/>
        </w:rPr>
        <w:t xml:space="preserve">repenser, </w:t>
      </w:r>
      <w:r w:rsidR="002B2A1D" w:rsidRPr="00011A9E">
        <w:rPr>
          <w:szCs w:val="24"/>
        </w:rPr>
        <w:t xml:space="preserve">de se </w:t>
      </w:r>
      <w:r w:rsidR="00FF4E97" w:rsidRPr="00011A9E">
        <w:rPr>
          <w:szCs w:val="24"/>
        </w:rPr>
        <w:t>re</w:t>
      </w:r>
      <w:r w:rsidR="00910893" w:rsidRPr="00011A9E">
        <w:rPr>
          <w:szCs w:val="24"/>
        </w:rPr>
        <w:t>définir</w:t>
      </w:r>
      <w:r w:rsidR="002B2A1D" w:rsidRPr="00011A9E">
        <w:rPr>
          <w:szCs w:val="24"/>
        </w:rPr>
        <w:t xml:space="preserve"> et </w:t>
      </w:r>
      <w:r w:rsidR="004736E4" w:rsidRPr="00011A9E">
        <w:rPr>
          <w:szCs w:val="24"/>
        </w:rPr>
        <w:t>d’envisager, d’encourager et de garantir</w:t>
      </w:r>
      <w:r w:rsidR="002B2A1D" w:rsidRPr="00011A9E">
        <w:rPr>
          <w:szCs w:val="24"/>
        </w:rPr>
        <w:t xml:space="preserve"> une </w:t>
      </w:r>
      <w:r w:rsidR="00FF6205" w:rsidRPr="00011A9E">
        <w:rPr>
          <w:szCs w:val="24"/>
        </w:rPr>
        <w:t xml:space="preserve">communion </w:t>
      </w:r>
      <w:r w:rsidR="002B2A1D" w:rsidRPr="00011A9E">
        <w:rPr>
          <w:szCs w:val="24"/>
        </w:rPr>
        <w:t xml:space="preserve">sans </w:t>
      </w:r>
      <w:r w:rsidR="007D1DF2" w:rsidRPr="00011A9E">
        <w:rPr>
          <w:szCs w:val="24"/>
        </w:rPr>
        <w:t xml:space="preserve">capitulation. On mobilisera d’autres théologiens partageant la question de </w:t>
      </w:r>
      <w:proofErr w:type="spellStart"/>
      <w:r w:rsidR="007D1DF2" w:rsidRPr="00011A9E">
        <w:rPr>
          <w:szCs w:val="24"/>
        </w:rPr>
        <w:t>Lindbeck</w:t>
      </w:r>
      <w:proofErr w:type="spellEnd"/>
      <w:r w:rsidR="007D1DF2" w:rsidRPr="00011A9E">
        <w:rPr>
          <w:szCs w:val="24"/>
        </w:rPr>
        <w:t xml:space="preserve"> mais aussi comment d’autres traditions religieuses ont pu aborder </w:t>
      </w:r>
      <w:r w:rsidR="00011A9E">
        <w:rPr>
          <w:szCs w:val="24"/>
        </w:rPr>
        <w:t>ce</w:t>
      </w:r>
      <w:r w:rsidR="007D1DF2" w:rsidRPr="00011A9E">
        <w:rPr>
          <w:szCs w:val="24"/>
        </w:rPr>
        <w:t xml:space="preserve"> question</w:t>
      </w:r>
      <w:r w:rsidR="00011A9E">
        <w:rPr>
          <w:szCs w:val="24"/>
        </w:rPr>
        <w:t>nement</w:t>
      </w:r>
      <w:r w:rsidR="007D1DF2" w:rsidRPr="00011A9E">
        <w:rPr>
          <w:szCs w:val="24"/>
        </w:rPr>
        <w:t xml:space="preserve">.  </w:t>
      </w:r>
    </w:p>
    <w:p w:rsidR="00FF6205" w:rsidRPr="00011A9E" w:rsidRDefault="00FF6205" w:rsidP="003A561F">
      <w:pPr>
        <w:jc w:val="both"/>
        <w:rPr>
          <w:szCs w:val="24"/>
        </w:rPr>
      </w:pPr>
    </w:p>
    <w:p w:rsidR="00011A9E" w:rsidRPr="00011A9E" w:rsidRDefault="00011A9E" w:rsidP="00011A9E">
      <w:pPr>
        <w:jc w:val="both"/>
        <w:rPr>
          <w:szCs w:val="24"/>
        </w:rPr>
      </w:pPr>
      <w:r w:rsidRPr="00011A9E">
        <w:rPr>
          <w:szCs w:val="24"/>
        </w:rPr>
        <w:t xml:space="preserve">En suivant </w:t>
      </w:r>
      <w:proofErr w:type="spellStart"/>
      <w:r w:rsidRPr="00011A9E">
        <w:rPr>
          <w:szCs w:val="24"/>
        </w:rPr>
        <w:t>Lindbeck</w:t>
      </w:r>
      <w:proofErr w:type="spellEnd"/>
      <w:r w:rsidRPr="00011A9E">
        <w:rPr>
          <w:szCs w:val="24"/>
        </w:rPr>
        <w:t xml:space="preserve"> dans </w:t>
      </w:r>
      <w:r w:rsidRPr="00011A9E">
        <w:rPr>
          <w:i/>
          <w:szCs w:val="24"/>
        </w:rPr>
        <w:t>La nature des doctrines</w:t>
      </w:r>
      <w:r w:rsidRPr="00011A9E">
        <w:rPr>
          <w:szCs w:val="24"/>
        </w:rPr>
        <w:t xml:space="preserve">, et ses articles postérieurs, les communications pourront </w:t>
      </w:r>
      <w:r>
        <w:rPr>
          <w:szCs w:val="24"/>
        </w:rPr>
        <w:t xml:space="preserve">traiter </w:t>
      </w:r>
      <w:r w:rsidRPr="00011A9E">
        <w:rPr>
          <w:szCs w:val="24"/>
        </w:rPr>
        <w:t xml:space="preserve"> les questions suivantes : </w:t>
      </w:r>
    </w:p>
    <w:p w:rsidR="00011A9E" w:rsidRPr="00011A9E" w:rsidRDefault="00011A9E" w:rsidP="00011A9E">
      <w:pPr>
        <w:jc w:val="both"/>
        <w:rPr>
          <w:szCs w:val="24"/>
        </w:rPr>
      </w:pP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lastRenderedPageBreak/>
        <w:t xml:space="preserve">Le lien entre l’œcuménisme et l’interreligieux : dans quelle mesure les principes théologiques adoptés pour penser l’œcuménisme doivent et peuvent être transposés à une théologie des religions. </w:t>
      </w: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t>Le statut du texte de chaque tradition religieuse et la question de l’absorption</w:t>
      </w: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t>Le principe de charité de Donald Davidson</w:t>
      </w:r>
      <w:r w:rsidRPr="00011A9E">
        <w:rPr>
          <w:rStyle w:val="Appelnotedebasdep"/>
          <w:szCs w:val="24"/>
        </w:rPr>
        <w:footnoteReference w:id="3"/>
      </w:r>
      <w:r w:rsidRPr="00011A9E">
        <w:rPr>
          <w:szCs w:val="24"/>
        </w:rPr>
        <w:t xml:space="preserve"> appliqué au dialogue interreligieux.</w:t>
      </w: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t>Le rapport entre le singulier d’une doctrine et l’universel d’une tradition religieuse</w:t>
      </w: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t xml:space="preserve">La nature d’une doctrine ou comment redéfinir la religion </w:t>
      </w: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t>La notion de réconciliation sans capitulation appliqué à l’interreligieux</w:t>
      </w: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t>L’articulation entre doctrine et vérité</w:t>
      </w: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t xml:space="preserve">Les conditions théologiques du respect mutuel des religions  </w:t>
      </w: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t xml:space="preserve">La portée, la fécondité et les perspectives du paradigme </w:t>
      </w:r>
      <w:proofErr w:type="spellStart"/>
      <w:r w:rsidRPr="00011A9E">
        <w:rPr>
          <w:szCs w:val="24"/>
        </w:rPr>
        <w:t>culturo</w:t>
      </w:r>
      <w:proofErr w:type="spellEnd"/>
      <w:r w:rsidRPr="00011A9E">
        <w:rPr>
          <w:szCs w:val="24"/>
        </w:rPr>
        <w:t xml:space="preserve">-linguistique de </w:t>
      </w:r>
      <w:proofErr w:type="spellStart"/>
      <w:r w:rsidRPr="00011A9E">
        <w:rPr>
          <w:szCs w:val="24"/>
        </w:rPr>
        <w:t>Lindbeck</w:t>
      </w:r>
      <w:proofErr w:type="spellEnd"/>
      <w:r w:rsidRPr="00011A9E">
        <w:rPr>
          <w:szCs w:val="24"/>
        </w:rPr>
        <w:t xml:space="preserve"> pour le dialogue des religions</w:t>
      </w: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t xml:space="preserve">Où penser l’interreligieux : au niveau des religions ou des individus </w:t>
      </w: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t xml:space="preserve">L’approche de la Bible et des textes sacrés des religions </w:t>
      </w:r>
    </w:p>
    <w:p w:rsidR="00011A9E" w:rsidRPr="00011A9E" w:rsidRDefault="00011A9E" w:rsidP="00011A9E">
      <w:pPr>
        <w:pStyle w:val="Paragraphedeliste"/>
        <w:numPr>
          <w:ilvl w:val="0"/>
          <w:numId w:val="1"/>
        </w:numPr>
        <w:jc w:val="both"/>
        <w:rPr>
          <w:szCs w:val="24"/>
        </w:rPr>
      </w:pPr>
      <w:r w:rsidRPr="00011A9E">
        <w:rPr>
          <w:szCs w:val="24"/>
        </w:rPr>
        <w:t>Le traitement du conflit doctrinal par les traditions religieuses</w:t>
      </w:r>
    </w:p>
    <w:p w:rsidR="00011A9E" w:rsidRPr="00011A9E" w:rsidRDefault="00011A9E" w:rsidP="00011A9E">
      <w:pPr>
        <w:pStyle w:val="Paragraphedeliste"/>
        <w:jc w:val="both"/>
        <w:rPr>
          <w:szCs w:val="24"/>
        </w:rPr>
      </w:pPr>
    </w:p>
    <w:p w:rsidR="00011A9E" w:rsidRPr="00011A9E" w:rsidRDefault="00011A9E" w:rsidP="00011A9E">
      <w:pPr>
        <w:jc w:val="both"/>
        <w:rPr>
          <w:szCs w:val="24"/>
        </w:rPr>
      </w:pPr>
      <w:r w:rsidRPr="00011A9E">
        <w:rPr>
          <w:rFonts w:eastAsia="Times New Roman" w:cs="Times New Roman"/>
          <w:b/>
          <w:bCs/>
          <w:szCs w:val="24"/>
          <w:lang w:eastAsia="fr-FR"/>
        </w:rPr>
        <w:t>Soumission des propositions de communication</w:t>
      </w:r>
    </w:p>
    <w:p w:rsidR="00011A9E" w:rsidRPr="00011A9E" w:rsidRDefault="00011A9E" w:rsidP="00011A9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011A9E">
        <w:rPr>
          <w:rFonts w:eastAsia="Times New Roman" w:cs="Times New Roman"/>
          <w:szCs w:val="24"/>
          <w:lang w:eastAsia="fr-FR"/>
        </w:rPr>
        <w:lastRenderedPageBreak/>
        <w:t xml:space="preserve">Les propositions de communications doivent être adressées </w:t>
      </w:r>
      <w:r w:rsidRPr="00011A9E">
        <w:rPr>
          <w:rFonts w:eastAsia="Times New Roman" w:cs="Times New Roman"/>
          <w:b/>
          <w:szCs w:val="24"/>
          <w:lang w:eastAsia="fr-FR"/>
        </w:rPr>
        <w:t>avant le 1</w:t>
      </w:r>
      <w:r w:rsidRPr="00011A9E">
        <w:rPr>
          <w:rFonts w:eastAsia="Times New Roman" w:cs="Times New Roman"/>
          <w:b/>
          <w:szCs w:val="24"/>
          <w:vertAlign w:val="superscript"/>
          <w:lang w:eastAsia="fr-FR"/>
        </w:rPr>
        <w:t>er</w:t>
      </w:r>
      <w:r w:rsidRPr="00011A9E">
        <w:rPr>
          <w:rFonts w:eastAsia="Times New Roman" w:cs="Times New Roman"/>
          <w:b/>
          <w:szCs w:val="24"/>
          <w:lang w:eastAsia="fr-FR"/>
        </w:rPr>
        <w:t xml:space="preserve"> juin 2018</w:t>
      </w:r>
      <w:r w:rsidRPr="00011A9E">
        <w:rPr>
          <w:rFonts w:eastAsia="Times New Roman" w:cs="Times New Roman"/>
          <w:szCs w:val="24"/>
          <w:lang w:eastAsia="fr-FR"/>
        </w:rPr>
        <w:t xml:space="preserve"> à l’adresse : </w:t>
      </w:r>
      <w:hyperlink r:id="rId10" w:history="1">
        <w:r w:rsidRPr="00011A9E">
          <w:rPr>
            <w:rStyle w:val="Lienhypertexte"/>
            <w:rFonts w:eastAsia="Times New Roman" w:cs="Times New Roman"/>
            <w:szCs w:val="24"/>
            <w:lang w:eastAsia="fr-FR"/>
          </w:rPr>
          <w:t>e.pisani@icp.fr</w:t>
        </w:r>
      </w:hyperlink>
      <w:r w:rsidRPr="00011A9E">
        <w:rPr>
          <w:rFonts w:eastAsia="Times New Roman" w:cs="Times New Roman"/>
          <w:szCs w:val="24"/>
          <w:lang w:eastAsia="fr-FR"/>
        </w:rPr>
        <w:t>.</w:t>
      </w:r>
    </w:p>
    <w:p w:rsidR="00011A9E" w:rsidRPr="00011A9E" w:rsidRDefault="00011A9E" w:rsidP="00011A9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011A9E">
        <w:rPr>
          <w:rFonts w:eastAsia="Times New Roman" w:cs="Times New Roman"/>
          <w:szCs w:val="24"/>
          <w:lang w:eastAsia="fr-FR"/>
        </w:rPr>
        <w:t>Elles comprendront :</w:t>
      </w:r>
    </w:p>
    <w:p w:rsidR="00011A9E" w:rsidRPr="00011A9E" w:rsidRDefault="00011A9E" w:rsidP="00011A9E">
      <w:pPr>
        <w:spacing w:line="240" w:lineRule="auto"/>
        <w:ind w:left="448"/>
        <w:jc w:val="both"/>
        <w:rPr>
          <w:rFonts w:eastAsia="Times New Roman" w:cs="Times New Roman"/>
          <w:szCs w:val="24"/>
          <w:lang w:eastAsia="fr-FR"/>
        </w:rPr>
      </w:pPr>
      <w:r w:rsidRPr="00011A9E">
        <w:rPr>
          <w:rFonts w:eastAsia="Times New Roman" w:cs="Times New Roman"/>
          <w:szCs w:val="24"/>
          <w:lang w:eastAsia="fr-FR"/>
        </w:rPr>
        <w:t>- le titre de la communication proposée ;</w:t>
      </w:r>
    </w:p>
    <w:p w:rsidR="00011A9E" w:rsidRPr="00011A9E" w:rsidRDefault="00011A9E" w:rsidP="00011A9E">
      <w:pPr>
        <w:spacing w:line="240" w:lineRule="auto"/>
        <w:ind w:left="448"/>
        <w:rPr>
          <w:rFonts w:eastAsia="Times New Roman" w:cs="Times New Roman"/>
          <w:szCs w:val="24"/>
          <w:lang w:eastAsia="fr-FR"/>
        </w:rPr>
      </w:pPr>
      <w:r w:rsidRPr="00011A9E">
        <w:rPr>
          <w:rFonts w:eastAsia="Times New Roman" w:cs="Times New Roman"/>
          <w:szCs w:val="24"/>
          <w:lang w:eastAsia="fr-FR"/>
        </w:rPr>
        <w:t>- un résumé de 400 mots maximum ;</w:t>
      </w:r>
    </w:p>
    <w:p w:rsidR="00011A9E" w:rsidRPr="00011A9E" w:rsidRDefault="00011A9E" w:rsidP="00011A9E">
      <w:pPr>
        <w:spacing w:line="240" w:lineRule="auto"/>
        <w:ind w:left="448"/>
        <w:rPr>
          <w:rFonts w:eastAsia="Times New Roman" w:cs="Times New Roman"/>
          <w:szCs w:val="24"/>
          <w:lang w:eastAsia="fr-FR"/>
        </w:rPr>
      </w:pPr>
      <w:r w:rsidRPr="00011A9E">
        <w:rPr>
          <w:rFonts w:eastAsia="Times New Roman" w:cs="Times New Roman"/>
          <w:szCs w:val="24"/>
          <w:lang w:eastAsia="fr-FR"/>
        </w:rPr>
        <w:t>- une courte biographie du communiquant.</w:t>
      </w:r>
    </w:p>
    <w:p w:rsidR="00011A9E" w:rsidRPr="00011A9E" w:rsidRDefault="00011A9E" w:rsidP="00011A9E">
      <w:pPr>
        <w:pStyle w:val="teks"/>
        <w:spacing w:before="0" w:beforeAutospacing="0" w:after="120" w:afterAutospacing="0"/>
        <w:jc w:val="both"/>
        <w:rPr>
          <w:rFonts w:ascii="Constantia" w:hAnsi="Constantia"/>
          <w:b/>
        </w:rPr>
      </w:pPr>
    </w:p>
    <w:p w:rsidR="00011A9E" w:rsidRPr="00011A9E" w:rsidRDefault="00011A9E" w:rsidP="00011A9E">
      <w:pPr>
        <w:pStyle w:val="teks"/>
        <w:spacing w:before="0" w:beforeAutospacing="0" w:after="120" w:afterAutospacing="0"/>
        <w:jc w:val="both"/>
        <w:rPr>
          <w:rFonts w:ascii="Constantia" w:hAnsi="Constantia"/>
          <w:b/>
        </w:rPr>
      </w:pPr>
      <w:r w:rsidRPr="00011A9E">
        <w:rPr>
          <w:rFonts w:ascii="Constantia" w:hAnsi="Constantia"/>
          <w:b/>
        </w:rPr>
        <w:t xml:space="preserve">Les réponses à l’appel à communication seront transmises avant la date du 15 juillet. </w:t>
      </w:r>
    </w:p>
    <w:p w:rsidR="00011A9E" w:rsidRPr="00011A9E" w:rsidRDefault="00011A9E" w:rsidP="003A561F">
      <w:pPr>
        <w:jc w:val="both"/>
        <w:rPr>
          <w:szCs w:val="24"/>
        </w:rPr>
      </w:pPr>
    </w:p>
    <w:p w:rsidR="002542EE" w:rsidRPr="00011A9E" w:rsidRDefault="00E70BA5" w:rsidP="00011A9E">
      <w:pPr>
        <w:spacing w:after="160" w:line="259" w:lineRule="auto"/>
        <w:rPr>
          <w:b/>
          <w:szCs w:val="24"/>
        </w:rPr>
      </w:pPr>
      <w:r w:rsidRPr="00011A9E">
        <w:rPr>
          <w:b/>
          <w:szCs w:val="24"/>
        </w:rPr>
        <w:t xml:space="preserve">Bibliographie </w:t>
      </w:r>
    </w:p>
    <w:p w:rsidR="000939B1" w:rsidRPr="00011A9E" w:rsidRDefault="000939B1" w:rsidP="003A561F">
      <w:pPr>
        <w:jc w:val="both"/>
        <w:rPr>
          <w:b/>
          <w:szCs w:val="24"/>
        </w:rPr>
      </w:pPr>
    </w:p>
    <w:p w:rsidR="00B3031B" w:rsidRPr="00011A9E" w:rsidRDefault="00E70BA5" w:rsidP="00B3031B">
      <w:pPr>
        <w:spacing w:line="240" w:lineRule="auto"/>
        <w:jc w:val="both"/>
        <w:rPr>
          <w:rFonts w:eastAsia="Times New Roman" w:cs="Times New Roman"/>
          <w:szCs w:val="24"/>
          <w:lang w:eastAsia="fr-FR"/>
        </w:rPr>
      </w:pPr>
      <w:r w:rsidRPr="00011A9E">
        <w:rPr>
          <w:rFonts w:eastAsia="Times New Roman" w:cs="Times New Roman"/>
          <w:szCs w:val="24"/>
          <w:lang w:eastAsia="fr-FR"/>
        </w:rPr>
        <w:t>Bitter, J</w:t>
      </w:r>
      <w:r w:rsidR="00F447B3" w:rsidRPr="00011A9E">
        <w:rPr>
          <w:rFonts w:eastAsia="Times New Roman" w:cs="Times New Roman"/>
          <w:szCs w:val="24"/>
          <w:lang w:eastAsia="fr-FR"/>
        </w:rPr>
        <w:t>ean-</w:t>
      </w:r>
      <w:r w:rsidRPr="00011A9E">
        <w:rPr>
          <w:rFonts w:eastAsia="Times New Roman" w:cs="Times New Roman"/>
          <w:szCs w:val="24"/>
          <w:lang w:eastAsia="fr-FR"/>
        </w:rPr>
        <w:t>N</w:t>
      </w:r>
      <w:r w:rsidR="00F447B3" w:rsidRPr="00011A9E">
        <w:rPr>
          <w:rFonts w:eastAsia="Times New Roman" w:cs="Times New Roman"/>
          <w:szCs w:val="24"/>
          <w:lang w:eastAsia="fr-FR"/>
        </w:rPr>
        <w:t>icolas</w:t>
      </w:r>
      <w:r w:rsidRPr="00011A9E">
        <w:rPr>
          <w:rFonts w:eastAsia="Times New Roman" w:cs="Times New Roman"/>
          <w:szCs w:val="24"/>
          <w:lang w:eastAsia="fr-FR"/>
        </w:rPr>
        <w:t xml:space="preserve">, </w:t>
      </w:r>
      <w:r w:rsidRPr="00011A9E">
        <w:rPr>
          <w:rFonts w:eastAsia="Times New Roman" w:cs="Times New Roman"/>
          <w:i/>
          <w:szCs w:val="24"/>
          <w:lang w:eastAsia="fr-FR"/>
        </w:rPr>
        <w:t>Les Dieux Embusqués. Une approche pragmatique de la dimension religieuse des conflits</w:t>
      </w:r>
      <w:r w:rsidRPr="00011A9E">
        <w:rPr>
          <w:rFonts w:eastAsia="Times New Roman" w:cs="Times New Roman"/>
          <w:szCs w:val="24"/>
          <w:lang w:eastAsia="fr-FR"/>
        </w:rPr>
        <w:t>,</w:t>
      </w:r>
      <w:r w:rsidR="00E6238D" w:rsidRPr="00011A9E">
        <w:rPr>
          <w:rFonts w:eastAsia="Times New Roman" w:cs="Times New Roman"/>
          <w:szCs w:val="24"/>
          <w:lang w:eastAsia="fr-FR"/>
        </w:rPr>
        <w:t xml:space="preserve"> </w:t>
      </w:r>
      <w:r w:rsidRPr="00011A9E">
        <w:rPr>
          <w:rFonts w:eastAsia="Times New Roman" w:cs="Times New Roman"/>
          <w:szCs w:val="24"/>
          <w:lang w:eastAsia="fr-FR"/>
        </w:rPr>
        <w:t>Genève, Paris, Librairie Droz</w:t>
      </w:r>
      <w:r w:rsidR="00F447B3" w:rsidRPr="00011A9E">
        <w:rPr>
          <w:rFonts w:eastAsia="Times New Roman" w:cs="Times New Roman"/>
          <w:szCs w:val="24"/>
          <w:lang w:eastAsia="fr-FR"/>
        </w:rPr>
        <w:t>, 2003.</w:t>
      </w:r>
    </w:p>
    <w:p w:rsidR="00B3031B" w:rsidRPr="00011A9E" w:rsidRDefault="00B3031B" w:rsidP="00B3031B">
      <w:pPr>
        <w:spacing w:line="240" w:lineRule="auto"/>
        <w:jc w:val="both"/>
        <w:rPr>
          <w:rFonts w:eastAsia="Times New Roman" w:cs="Times New Roman"/>
          <w:szCs w:val="24"/>
          <w:lang w:eastAsia="fr-FR"/>
        </w:rPr>
      </w:pPr>
    </w:p>
    <w:p w:rsidR="00B3031B" w:rsidRPr="00011A9E" w:rsidRDefault="00B3031B" w:rsidP="00B3031B">
      <w:pPr>
        <w:spacing w:line="240" w:lineRule="auto"/>
        <w:jc w:val="both"/>
        <w:rPr>
          <w:rFonts w:eastAsia="Times New Roman" w:cs="Arial"/>
          <w:szCs w:val="24"/>
          <w:lang w:eastAsia="fr-FR"/>
        </w:rPr>
      </w:pPr>
      <w:r w:rsidRPr="00011A9E">
        <w:rPr>
          <w:rFonts w:eastAsia="Times New Roman" w:cs="Arial"/>
          <w:szCs w:val="24"/>
          <w:lang w:eastAsia="fr-FR"/>
        </w:rPr>
        <w:t xml:space="preserve">Boss Marc, Gilles Emery et Pierre Gisel (éd), </w:t>
      </w:r>
      <w:proofErr w:type="spellStart"/>
      <w:r w:rsidRPr="00011A9E">
        <w:rPr>
          <w:rFonts w:eastAsia="Times New Roman" w:cs="Arial"/>
          <w:i/>
          <w:szCs w:val="24"/>
          <w:lang w:eastAsia="fr-FR"/>
        </w:rPr>
        <w:t>Postlibéalisme</w:t>
      </w:r>
      <w:proofErr w:type="spellEnd"/>
      <w:r w:rsidR="00E6238D" w:rsidRPr="00011A9E">
        <w:rPr>
          <w:rFonts w:eastAsia="Times New Roman" w:cs="Arial"/>
          <w:i/>
          <w:szCs w:val="24"/>
          <w:lang w:eastAsia="fr-FR"/>
        </w:rPr>
        <w:t> </w:t>
      </w:r>
      <w:r w:rsidRPr="00011A9E">
        <w:rPr>
          <w:rFonts w:eastAsia="Times New Roman" w:cs="Arial"/>
          <w:i/>
          <w:szCs w:val="24"/>
          <w:lang w:eastAsia="fr-FR"/>
        </w:rPr>
        <w:t>? La théologie de George Lindbeck et sa réception</w:t>
      </w:r>
      <w:r w:rsidRPr="00011A9E">
        <w:rPr>
          <w:rFonts w:eastAsia="Times New Roman" w:cs="Arial"/>
          <w:szCs w:val="24"/>
          <w:lang w:eastAsia="fr-FR"/>
        </w:rPr>
        <w:t>, Genève 2004.</w:t>
      </w:r>
    </w:p>
    <w:p w:rsidR="00900021" w:rsidRPr="00011A9E" w:rsidRDefault="00900021" w:rsidP="00B3031B">
      <w:pPr>
        <w:spacing w:line="240" w:lineRule="auto"/>
        <w:jc w:val="both"/>
        <w:rPr>
          <w:rFonts w:eastAsia="Times New Roman" w:cs="Arial"/>
          <w:szCs w:val="24"/>
          <w:lang w:eastAsia="fr-FR"/>
        </w:rPr>
      </w:pPr>
    </w:p>
    <w:p w:rsidR="00900021" w:rsidRPr="00011A9E" w:rsidRDefault="00900021" w:rsidP="00B3031B">
      <w:pPr>
        <w:spacing w:line="240" w:lineRule="auto"/>
        <w:jc w:val="both"/>
        <w:rPr>
          <w:rFonts w:eastAsia="Times New Roman" w:cs="Arial"/>
          <w:szCs w:val="24"/>
          <w:lang w:eastAsia="fr-FR"/>
        </w:rPr>
      </w:pPr>
      <w:r w:rsidRPr="00011A9E">
        <w:rPr>
          <w:rFonts w:eastAsia="Times New Roman" w:cs="Arial"/>
          <w:szCs w:val="24"/>
          <w:lang w:eastAsia="fr-FR"/>
        </w:rPr>
        <w:t xml:space="preserve">Chéno, Rémi, </w:t>
      </w:r>
      <w:r w:rsidR="00E6238D" w:rsidRPr="00011A9E">
        <w:rPr>
          <w:rFonts w:eastAsia="Times New Roman" w:cs="Arial"/>
          <w:i/>
          <w:szCs w:val="24"/>
          <w:lang w:eastAsia="fr-FR"/>
        </w:rPr>
        <w:t>Dieu au pluriel. Penser les religions</w:t>
      </w:r>
      <w:r w:rsidR="00E6238D" w:rsidRPr="00011A9E">
        <w:rPr>
          <w:rFonts w:eastAsia="Times New Roman" w:cs="Arial"/>
          <w:szCs w:val="24"/>
          <w:lang w:eastAsia="fr-FR"/>
        </w:rPr>
        <w:t xml:space="preserve">, Paris, Cerf, 2017. </w:t>
      </w:r>
    </w:p>
    <w:p w:rsidR="00B3031B" w:rsidRPr="00011A9E" w:rsidRDefault="00B3031B" w:rsidP="00B3031B">
      <w:pPr>
        <w:spacing w:line="240" w:lineRule="auto"/>
        <w:jc w:val="both"/>
        <w:rPr>
          <w:rFonts w:eastAsia="Times New Roman" w:cs="Arial"/>
          <w:szCs w:val="24"/>
          <w:lang w:eastAsia="fr-FR"/>
        </w:rPr>
      </w:pPr>
    </w:p>
    <w:p w:rsidR="000D4635" w:rsidRPr="00011A9E" w:rsidRDefault="00B3031B" w:rsidP="000D4635">
      <w:pPr>
        <w:pStyle w:val="teks"/>
        <w:spacing w:before="0" w:beforeAutospacing="0" w:after="120" w:afterAutospacing="0"/>
        <w:jc w:val="both"/>
        <w:rPr>
          <w:rFonts w:ascii="Constantia" w:hAnsi="Constantia"/>
          <w:lang w:val="en-US"/>
        </w:rPr>
      </w:pPr>
      <w:proofErr w:type="spellStart"/>
      <w:r w:rsidRPr="00011A9E">
        <w:rPr>
          <w:rFonts w:ascii="Constantia" w:hAnsi="Constantia"/>
          <w:lang w:val="en-US"/>
        </w:rPr>
        <w:t>DiNoia</w:t>
      </w:r>
      <w:proofErr w:type="spellEnd"/>
      <w:r w:rsidRPr="00011A9E">
        <w:rPr>
          <w:rFonts w:ascii="Constantia" w:hAnsi="Constantia"/>
          <w:lang w:val="en-US"/>
        </w:rPr>
        <w:t xml:space="preserve">, Joseph, </w:t>
      </w:r>
      <w:r w:rsidRPr="00011A9E">
        <w:rPr>
          <w:rFonts w:ascii="Constantia" w:hAnsi="Constantia"/>
          <w:i/>
          <w:iCs/>
          <w:lang w:val="en-US"/>
        </w:rPr>
        <w:t>The Diversity of Religions: A Christian Perspective</w:t>
      </w:r>
      <w:r w:rsidRPr="00011A9E">
        <w:rPr>
          <w:rFonts w:ascii="Constantia" w:hAnsi="Constantia"/>
          <w:lang w:val="en-US"/>
        </w:rPr>
        <w:t>. Washington, D.C.: Catholic University of America Press, 1992.</w:t>
      </w:r>
    </w:p>
    <w:p w:rsidR="000D4635" w:rsidRPr="00011A9E" w:rsidRDefault="000D4635" w:rsidP="000D4635">
      <w:pPr>
        <w:pStyle w:val="teks"/>
        <w:spacing w:before="0" w:beforeAutospacing="0" w:after="120" w:afterAutospacing="0"/>
        <w:jc w:val="both"/>
        <w:rPr>
          <w:rFonts w:ascii="Constantia" w:hAnsi="Constantia"/>
          <w:lang w:val="en-US"/>
        </w:rPr>
      </w:pPr>
      <w:proofErr w:type="spellStart"/>
      <w:r w:rsidRPr="00011A9E">
        <w:rPr>
          <w:rFonts w:ascii="Constantia" w:hAnsi="Constantia"/>
          <w:lang w:val="en-US"/>
        </w:rPr>
        <w:lastRenderedPageBreak/>
        <w:t>Eckerstorfer</w:t>
      </w:r>
      <w:proofErr w:type="spellEnd"/>
      <w:r w:rsidRPr="00011A9E">
        <w:rPr>
          <w:rFonts w:ascii="Constantia" w:hAnsi="Constantia"/>
          <w:lang w:val="en-US"/>
        </w:rPr>
        <w:t xml:space="preserve">, Andreas, </w:t>
      </w:r>
      <w:proofErr w:type="spellStart"/>
      <w:r w:rsidRPr="00011A9E">
        <w:rPr>
          <w:rFonts w:ascii="Constantia" w:hAnsi="Constantia"/>
          <w:bCs/>
          <w:i/>
          <w:kern w:val="36"/>
          <w:lang w:val="en-US"/>
        </w:rPr>
        <w:t>Kirche</w:t>
      </w:r>
      <w:proofErr w:type="spellEnd"/>
      <w:r w:rsidRPr="00011A9E">
        <w:rPr>
          <w:rFonts w:ascii="Constantia" w:hAnsi="Constantia"/>
          <w:bCs/>
          <w:i/>
          <w:kern w:val="36"/>
          <w:lang w:val="en-US"/>
        </w:rPr>
        <w:t xml:space="preserve"> in der </w:t>
      </w:r>
      <w:proofErr w:type="spellStart"/>
      <w:r w:rsidRPr="00011A9E">
        <w:rPr>
          <w:rFonts w:ascii="Constantia" w:hAnsi="Constantia"/>
          <w:bCs/>
          <w:i/>
          <w:kern w:val="36"/>
          <w:lang w:val="en-US"/>
        </w:rPr>
        <w:t>postmodernen</w:t>
      </w:r>
      <w:proofErr w:type="spellEnd"/>
      <w:r w:rsidRPr="00011A9E">
        <w:rPr>
          <w:rFonts w:ascii="Constantia" w:hAnsi="Constantia"/>
          <w:bCs/>
          <w:i/>
          <w:kern w:val="36"/>
          <w:lang w:val="en-US"/>
        </w:rPr>
        <w:t xml:space="preserve"> Welt: Der </w:t>
      </w:r>
      <w:proofErr w:type="spellStart"/>
      <w:r w:rsidRPr="00011A9E">
        <w:rPr>
          <w:rFonts w:ascii="Constantia" w:hAnsi="Constantia"/>
          <w:bCs/>
          <w:i/>
          <w:kern w:val="36"/>
          <w:lang w:val="en-US"/>
        </w:rPr>
        <w:t>Beitrag</w:t>
      </w:r>
      <w:proofErr w:type="spellEnd"/>
      <w:r w:rsidRPr="00011A9E">
        <w:rPr>
          <w:rFonts w:ascii="Constantia" w:hAnsi="Constantia"/>
          <w:bCs/>
          <w:i/>
          <w:kern w:val="36"/>
          <w:lang w:val="en-US"/>
        </w:rPr>
        <w:t xml:space="preserve"> George </w:t>
      </w:r>
      <w:proofErr w:type="spellStart"/>
      <w:r w:rsidRPr="00011A9E">
        <w:rPr>
          <w:rFonts w:ascii="Constantia" w:hAnsi="Constantia"/>
          <w:bCs/>
          <w:i/>
          <w:kern w:val="36"/>
          <w:lang w:val="en-US"/>
        </w:rPr>
        <w:t>Lindbecks</w:t>
      </w:r>
      <w:proofErr w:type="spellEnd"/>
      <w:r w:rsidRPr="00011A9E">
        <w:rPr>
          <w:rFonts w:ascii="Constantia" w:hAnsi="Constantia"/>
          <w:bCs/>
          <w:i/>
          <w:kern w:val="36"/>
          <w:lang w:val="en-US"/>
        </w:rPr>
        <w:t xml:space="preserve"> </w:t>
      </w:r>
      <w:proofErr w:type="spellStart"/>
      <w:r w:rsidRPr="00011A9E">
        <w:rPr>
          <w:rFonts w:ascii="Constantia" w:hAnsi="Constantia"/>
          <w:bCs/>
          <w:i/>
          <w:kern w:val="36"/>
          <w:lang w:val="en-US"/>
        </w:rPr>
        <w:t>zu</w:t>
      </w:r>
      <w:proofErr w:type="spellEnd"/>
      <w:r w:rsidRPr="00011A9E">
        <w:rPr>
          <w:rFonts w:ascii="Constantia" w:hAnsi="Constantia"/>
          <w:bCs/>
          <w:i/>
          <w:kern w:val="36"/>
          <w:lang w:val="en-US"/>
        </w:rPr>
        <w:t xml:space="preserve"> </w:t>
      </w:r>
      <w:proofErr w:type="spellStart"/>
      <w:r w:rsidRPr="00011A9E">
        <w:rPr>
          <w:rFonts w:ascii="Constantia" w:hAnsi="Constantia"/>
          <w:bCs/>
          <w:i/>
          <w:kern w:val="36"/>
          <w:lang w:val="en-US"/>
        </w:rPr>
        <w:t>einer</w:t>
      </w:r>
      <w:proofErr w:type="spellEnd"/>
      <w:r w:rsidRPr="00011A9E">
        <w:rPr>
          <w:rFonts w:ascii="Constantia" w:hAnsi="Constantia"/>
          <w:bCs/>
          <w:i/>
          <w:kern w:val="36"/>
          <w:lang w:val="en-US"/>
        </w:rPr>
        <w:t xml:space="preserve"> </w:t>
      </w:r>
      <w:proofErr w:type="spellStart"/>
      <w:r w:rsidRPr="00011A9E">
        <w:rPr>
          <w:rFonts w:ascii="Constantia" w:hAnsi="Constantia"/>
          <w:bCs/>
          <w:i/>
          <w:kern w:val="36"/>
          <w:lang w:val="en-US"/>
        </w:rPr>
        <w:t>neuen</w:t>
      </w:r>
      <w:proofErr w:type="spellEnd"/>
      <w:r w:rsidRPr="00011A9E">
        <w:rPr>
          <w:rFonts w:ascii="Constantia" w:hAnsi="Constantia"/>
          <w:bCs/>
          <w:i/>
          <w:kern w:val="36"/>
          <w:lang w:val="en-US"/>
        </w:rPr>
        <w:t xml:space="preserve"> </w:t>
      </w:r>
      <w:proofErr w:type="spellStart"/>
      <w:r w:rsidRPr="00011A9E">
        <w:rPr>
          <w:rFonts w:ascii="Constantia" w:hAnsi="Constantia"/>
          <w:bCs/>
          <w:i/>
          <w:kern w:val="36"/>
          <w:lang w:val="en-US"/>
        </w:rPr>
        <w:t>Verhältnisbestimmung</w:t>
      </w:r>
      <w:proofErr w:type="spellEnd"/>
      <w:r w:rsidRPr="00011A9E">
        <w:rPr>
          <w:rFonts w:ascii="Constantia" w:hAnsi="Constantia"/>
          <w:bCs/>
          <w:kern w:val="36"/>
          <w:lang w:val="en-US"/>
        </w:rPr>
        <w:t xml:space="preserve">, </w:t>
      </w:r>
      <w:proofErr w:type="spellStart"/>
      <w:r w:rsidRPr="00011A9E">
        <w:rPr>
          <w:rFonts w:ascii="Constantia" w:hAnsi="Constantia"/>
          <w:lang w:val="en-US"/>
        </w:rPr>
        <w:t>Tyrolia</w:t>
      </w:r>
      <w:proofErr w:type="spellEnd"/>
      <w:r w:rsidRPr="00011A9E">
        <w:rPr>
          <w:rFonts w:ascii="Constantia" w:hAnsi="Constantia"/>
          <w:lang w:val="en-US"/>
        </w:rPr>
        <w:t xml:space="preserve"> </w:t>
      </w:r>
      <w:proofErr w:type="spellStart"/>
      <w:r w:rsidRPr="00011A9E">
        <w:rPr>
          <w:rFonts w:ascii="Constantia" w:hAnsi="Constantia"/>
          <w:lang w:val="en-US"/>
        </w:rPr>
        <w:t>Verlagsanstalt</w:t>
      </w:r>
      <w:proofErr w:type="spellEnd"/>
      <w:r w:rsidRPr="00011A9E">
        <w:rPr>
          <w:rFonts w:ascii="Constantia" w:hAnsi="Constantia"/>
          <w:lang w:val="en-US"/>
        </w:rPr>
        <w:t xml:space="preserve"> Gm, </w:t>
      </w:r>
      <w:r w:rsidRPr="00011A9E">
        <w:rPr>
          <w:rFonts w:ascii="Constantia" w:hAnsi="Constantia"/>
          <w:bCs/>
          <w:kern w:val="36"/>
          <w:lang w:val="en-US"/>
        </w:rPr>
        <w:t xml:space="preserve">2001. </w:t>
      </w:r>
    </w:p>
    <w:p w:rsidR="000D4635" w:rsidRPr="00011A9E" w:rsidRDefault="000D4635" w:rsidP="00B3031B">
      <w:pPr>
        <w:jc w:val="both"/>
        <w:rPr>
          <w:rStyle w:val="petitecap"/>
          <w:szCs w:val="24"/>
          <w:lang w:val="en-US"/>
        </w:rPr>
      </w:pPr>
    </w:p>
    <w:p w:rsidR="0002025F" w:rsidRPr="00011A9E" w:rsidRDefault="0002025F" w:rsidP="00B3031B">
      <w:pPr>
        <w:jc w:val="both"/>
        <w:rPr>
          <w:lang w:val="en-US"/>
        </w:rPr>
      </w:pPr>
      <w:proofErr w:type="spellStart"/>
      <w:r w:rsidRPr="00011A9E">
        <w:rPr>
          <w:rStyle w:val="addmd"/>
          <w:lang w:val="en-US"/>
        </w:rPr>
        <w:t>Gorazd</w:t>
      </w:r>
      <w:proofErr w:type="spellEnd"/>
      <w:r w:rsidRPr="00011A9E">
        <w:rPr>
          <w:rStyle w:val="addmd"/>
          <w:lang w:val="en-US"/>
        </w:rPr>
        <w:t xml:space="preserve"> </w:t>
      </w:r>
      <w:proofErr w:type="spellStart"/>
      <w:r w:rsidRPr="00011A9E">
        <w:rPr>
          <w:rStyle w:val="addmd"/>
          <w:lang w:val="en-US"/>
        </w:rPr>
        <w:t>Andrejč</w:t>
      </w:r>
      <w:proofErr w:type="spellEnd"/>
      <w:r w:rsidRPr="00011A9E">
        <w:rPr>
          <w:rStyle w:val="addmd"/>
          <w:lang w:val="en-US"/>
        </w:rPr>
        <w:t xml:space="preserve">, </w:t>
      </w:r>
      <w:r w:rsidRPr="00011A9E">
        <w:rPr>
          <w:bCs/>
          <w:szCs w:val="24"/>
          <w:lang w:val="en-US" w:eastAsia="fr-FR"/>
        </w:rPr>
        <w:t>Wittgenstein and Interreligious Disagreement: A Philosophical and</w:t>
      </w:r>
      <w:r w:rsidR="00A93E79" w:rsidRPr="00011A9E">
        <w:rPr>
          <w:bCs/>
          <w:szCs w:val="24"/>
          <w:lang w:val="en-US" w:eastAsia="fr-FR"/>
        </w:rPr>
        <w:t xml:space="preserve"> Theological Perspective, </w:t>
      </w:r>
      <w:r w:rsidR="00A93E79" w:rsidRPr="00011A9E">
        <w:rPr>
          <w:lang w:val="en-US"/>
        </w:rPr>
        <w:t xml:space="preserve">Palgrave MacMillan, 2016. </w:t>
      </w:r>
      <w:r w:rsidR="00FA4660" w:rsidRPr="00011A9E">
        <w:rPr>
          <w:lang w:val="en-US"/>
        </w:rPr>
        <w:t xml:space="preserve"> </w:t>
      </w:r>
    </w:p>
    <w:p w:rsidR="00A93E79" w:rsidRPr="00011A9E" w:rsidRDefault="00A93E79" w:rsidP="00B3031B">
      <w:pPr>
        <w:jc w:val="both"/>
        <w:rPr>
          <w:rStyle w:val="petitecap"/>
          <w:szCs w:val="24"/>
          <w:lang w:val="en-US"/>
        </w:rPr>
      </w:pPr>
    </w:p>
    <w:p w:rsidR="00B3031B" w:rsidRPr="00011A9E" w:rsidRDefault="00B3031B" w:rsidP="00B3031B">
      <w:pPr>
        <w:jc w:val="both"/>
        <w:rPr>
          <w:rStyle w:val="alinea"/>
          <w:szCs w:val="24"/>
          <w:lang w:val="en-US"/>
        </w:rPr>
      </w:pPr>
      <w:r w:rsidRPr="00011A9E">
        <w:rPr>
          <w:rStyle w:val="petitecap"/>
          <w:szCs w:val="24"/>
          <w:lang w:val="en-US"/>
        </w:rPr>
        <w:t>Kasper</w:t>
      </w:r>
      <w:r w:rsidRPr="00011A9E">
        <w:rPr>
          <w:rStyle w:val="alinea"/>
          <w:szCs w:val="24"/>
          <w:lang w:val="en-US"/>
        </w:rPr>
        <w:t>, Walter, « Postmoderne Dogmatik ? Zu einer neueren nordamerikanischen Grundlagendiskussion », dans L. </w:t>
      </w:r>
      <w:r w:rsidRPr="00011A9E">
        <w:rPr>
          <w:rStyle w:val="petitecap"/>
          <w:szCs w:val="24"/>
          <w:lang w:val="en-US"/>
        </w:rPr>
        <w:t>Ruppert,</w:t>
      </w:r>
      <w:r w:rsidRPr="00011A9E">
        <w:rPr>
          <w:rStyle w:val="alinea"/>
          <w:szCs w:val="24"/>
          <w:lang w:val="en-US"/>
        </w:rPr>
        <w:t xml:space="preserve"> dir., </w:t>
      </w:r>
      <w:r w:rsidRPr="00011A9E">
        <w:rPr>
          <w:rStyle w:val="Accentuation"/>
          <w:szCs w:val="24"/>
          <w:lang w:val="en-US"/>
        </w:rPr>
        <w:t>Der Weg zum Menschen : Zur philosophischen und theologischen Anthropologie. Festschrift f. A. Deissler</w:t>
      </w:r>
      <w:r w:rsidRPr="00011A9E">
        <w:rPr>
          <w:rStyle w:val="alinea"/>
          <w:szCs w:val="24"/>
          <w:lang w:val="en-US"/>
        </w:rPr>
        <w:t xml:space="preserve">, Freiburg, Basel, Wien, Herder, 1989, (Walter </w:t>
      </w:r>
      <w:r w:rsidRPr="00011A9E">
        <w:rPr>
          <w:rStyle w:val="petitecap"/>
          <w:szCs w:val="24"/>
          <w:lang w:val="en-US"/>
        </w:rPr>
        <w:t>Kasper</w:t>
      </w:r>
      <w:r w:rsidRPr="00011A9E">
        <w:rPr>
          <w:rStyle w:val="alinea"/>
          <w:szCs w:val="24"/>
          <w:lang w:val="en-US"/>
        </w:rPr>
        <w:t xml:space="preserve">, « Postmodern Dogmatics : Toward a Renewed Discussion of Foundations in North America », </w:t>
      </w:r>
      <w:r w:rsidRPr="00011A9E">
        <w:rPr>
          <w:rStyle w:val="Accentuation"/>
          <w:szCs w:val="24"/>
          <w:lang w:val="en-US"/>
        </w:rPr>
        <w:t>Communio : International Catholic Review</w:t>
      </w:r>
      <w:r w:rsidRPr="00011A9E">
        <w:rPr>
          <w:rStyle w:val="alinea"/>
          <w:szCs w:val="24"/>
          <w:lang w:val="en-US"/>
        </w:rPr>
        <w:t>, 17 [1990],</w:t>
      </w:r>
    </w:p>
    <w:p w:rsidR="00B3031B" w:rsidRPr="00011A9E" w:rsidRDefault="00B3031B" w:rsidP="003A561F">
      <w:pPr>
        <w:spacing w:line="240" w:lineRule="auto"/>
        <w:jc w:val="both"/>
        <w:rPr>
          <w:rFonts w:eastAsia="Times New Roman" w:cs="Times New Roman"/>
          <w:szCs w:val="24"/>
          <w:lang w:val="en-US" w:eastAsia="fr-FR"/>
        </w:rPr>
      </w:pPr>
    </w:p>
    <w:p w:rsidR="00E70BA5" w:rsidRPr="00011A9E" w:rsidRDefault="00E70BA5" w:rsidP="003A561F">
      <w:pPr>
        <w:spacing w:line="240" w:lineRule="auto"/>
        <w:jc w:val="both"/>
        <w:rPr>
          <w:rFonts w:eastAsia="Times New Roman" w:cs="Times New Roman"/>
          <w:szCs w:val="24"/>
          <w:lang w:eastAsia="fr-FR"/>
        </w:rPr>
      </w:pPr>
      <w:proofErr w:type="spellStart"/>
      <w:r w:rsidRPr="00011A9E">
        <w:rPr>
          <w:rFonts w:eastAsia="Times New Roman" w:cs="Times New Roman"/>
          <w:szCs w:val="24"/>
          <w:lang w:val="en-US" w:eastAsia="fr-FR"/>
        </w:rPr>
        <w:t>Lindbeck</w:t>
      </w:r>
      <w:proofErr w:type="spellEnd"/>
      <w:r w:rsidRPr="00011A9E">
        <w:rPr>
          <w:rFonts w:eastAsia="Times New Roman" w:cs="Times New Roman"/>
          <w:szCs w:val="24"/>
          <w:lang w:val="en-US" w:eastAsia="fr-FR"/>
        </w:rPr>
        <w:t xml:space="preserve">, </w:t>
      </w:r>
      <w:r w:rsidR="00F31E74" w:rsidRPr="00011A9E">
        <w:rPr>
          <w:rFonts w:eastAsia="Times New Roman" w:cs="Times New Roman"/>
          <w:szCs w:val="24"/>
          <w:lang w:val="en-US" w:eastAsia="fr-FR"/>
        </w:rPr>
        <w:t xml:space="preserve">George, </w:t>
      </w:r>
      <w:r w:rsidRPr="00011A9E">
        <w:rPr>
          <w:rFonts w:eastAsia="Times New Roman" w:cs="Times New Roman"/>
          <w:i/>
          <w:szCs w:val="24"/>
          <w:lang w:val="en-US" w:eastAsia="fr-FR"/>
        </w:rPr>
        <w:t>The Nature of Doctrine. Religion and Theology in a Postliberal Age</w:t>
      </w:r>
      <w:r w:rsidRPr="00011A9E">
        <w:rPr>
          <w:rFonts w:eastAsia="Times New Roman" w:cs="Times New Roman"/>
          <w:szCs w:val="24"/>
          <w:lang w:val="en-US" w:eastAsia="fr-FR"/>
        </w:rPr>
        <w:t xml:space="preserve">. </w:t>
      </w:r>
      <w:r w:rsidRPr="00011A9E">
        <w:rPr>
          <w:rFonts w:eastAsia="Times New Roman" w:cs="Times New Roman"/>
          <w:szCs w:val="24"/>
          <w:lang w:eastAsia="fr-FR"/>
        </w:rPr>
        <w:t xml:space="preserve">Philadelphia: Westminster </w:t>
      </w:r>
      <w:proofErr w:type="spellStart"/>
      <w:r w:rsidRPr="00011A9E">
        <w:rPr>
          <w:rFonts w:eastAsia="Times New Roman" w:cs="Times New Roman"/>
          <w:szCs w:val="24"/>
          <w:lang w:eastAsia="fr-FR"/>
        </w:rPr>
        <w:t>Press</w:t>
      </w:r>
      <w:proofErr w:type="spellEnd"/>
      <w:r w:rsidR="00F447B3" w:rsidRPr="00011A9E">
        <w:rPr>
          <w:rFonts w:eastAsia="Times New Roman" w:cs="Times New Roman"/>
          <w:szCs w:val="24"/>
          <w:lang w:eastAsia="fr-FR"/>
        </w:rPr>
        <w:t>, 1984</w:t>
      </w:r>
      <w:r w:rsidRPr="00011A9E">
        <w:rPr>
          <w:rFonts w:eastAsia="Times New Roman" w:cs="Times New Roman"/>
          <w:szCs w:val="24"/>
          <w:lang w:eastAsia="fr-FR"/>
        </w:rPr>
        <w:t>.</w:t>
      </w:r>
    </w:p>
    <w:p w:rsidR="00DD1903" w:rsidRPr="00011A9E" w:rsidRDefault="00DD1903" w:rsidP="003A561F">
      <w:pPr>
        <w:spacing w:line="240" w:lineRule="auto"/>
        <w:jc w:val="both"/>
        <w:rPr>
          <w:rFonts w:eastAsia="Times New Roman" w:cs="Times New Roman"/>
          <w:szCs w:val="24"/>
          <w:lang w:eastAsia="fr-FR"/>
        </w:rPr>
      </w:pPr>
    </w:p>
    <w:p w:rsidR="00C14C40" w:rsidRPr="00011A9E" w:rsidRDefault="00DD1903" w:rsidP="003A561F">
      <w:pPr>
        <w:spacing w:line="240" w:lineRule="auto"/>
        <w:jc w:val="both"/>
        <w:rPr>
          <w:rFonts w:eastAsia="Times New Roman" w:cs="Arial"/>
          <w:szCs w:val="24"/>
          <w:lang w:eastAsia="fr-FR"/>
        </w:rPr>
      </w:pPr>
      <w:r w:rsidRPr="00011A9E">
        <w:rPr>
          <w:rFonts w:eastAsia="Times New Roman" w:cs="Times New Roman"/>
          <w:szCs w:val="24"/>
          <w:lang w:eastAsia="fr-FR"/>
        </w:rPr>
        <w:t xml:space="preserve">Lindbeck, </w:t>
      </w:r>
      <w:r w:rsidR="00F31E74" w:rsidRPr="00011A9E">
        <w:rPr>
          <w:rFonts w:eastAsia="Times New Roman" w:cs="Times New Roman"/>
          <w:szCs w:val="24"/>
          <w:lang w:eastAsia="fr-FR"/>
        </w:rPr>
        <w:t xml:space="preserve">George, </w:t>
      </w:r>
      <w:r w:rsidRPr="00011A9E">
        <w:rPr>
          <w:rFonts w:eastAsia="Times New Roman" w:cs="Times New Roman"/>
          <w:szCs w:val="24"/>
          <w:lang w:eastAsia="fr-FR"/>
        </w:rPr>
        <w:t>« </w:t>
      </w:r>
      <w:r w:rsidR="00C14C40" w:rsidRPr="00011A9E">
        <w:rPr>
          <w:rFonts w:eastAsia="Times New Roman" w:cs="Times New Roman"/>
          <w:szCs w:val="24"/>
          <w:lang w:eastAsia="fr-FR"/>
        </w:rPr>
        <w:t xml:space="preserve">Relations interreligieuses et œcuménisme. Le chapitre 3 de </w:t>
      </w:r>
      <w:r w:rsidR="00C14C40" w:rsidRPr="00011A9E">
        <w:rPr>
          <w:rFonts w:eastAsia="Times New Roman" w:cs="Times New Roman"/>
          <w:i/>
          <w:szCs w:val="24"/>
          <w:lang w:eastAsia="fr-FR"/>
        </w:rPr>
        <w:t>La nature des doctrines</w:t>
      </w:r>
      <w:r w:rsidR="00C14C40" w:rsidRPr="00011A9E">
        <w:rPr>
          <w:rFonts w:eastAsia="Times New Roman" w:cs="Times New Roman"/>
          <w:szCs w:val="24"/>
          <w:lang w:eastAsia="fr-FR"/>
        </w:rPr>
        <w:t xml:space="preserve"> revisité », dans </w:t>
      </w:r>
      <w:r w:rsidR="00C14C40" w:rsidRPr="00011A9E">
        <w:rPr>
          <w:rFonts w:eastAsia="Times New Roman" w:cs="Arial"/>
          <w:szCs w:val="24"/>
          <w:lang w:eastAsia="fr-FR"/>
        </w:rPr>
        <w:t xml:space="preserve">Boss Marc, Gilles Emery et Pierre Gisel (éd), </w:t>
      </w:r>
      <w:proofErr w:type="spellStart"/>
      <w:r w:rsidR="00C14C40" w:rsidRPr="00011A9E">
        <w:rPr>
          <w:rFonts w:eastAsia="Times New Roman" w:cs="Arial"/>
          <w:i/>
          <w:szCs w:val="24"/>
          <w:lang w:eastAsia="fr-FR"/>
        </w:rPr>
        <w:t>Postlibéalisme</w:t>
      </w:r>
      <w:proofErr w:type="spellEnd"/>
      <w:r w:rsidR="00C14C40" w:rsidRPr="00011A9E">
        <w:rPr>
          <w:rFonts w:eastAsia="Times New Roman" w:cs="Arial"/>
          <w:i/>
          <w:szCs w:val="24"/>
          <w:lang w:eastAsia="fr-FR"/>
        </w:rPr>
        <w:t>? La théologie de George Lindbeck et sa réception</w:t>
      </w:r>
      <w:r w:rsidR="00C14C40" w:rsidRPr="00011A9E">
        <w:rPr>
          <w:rFonts w:eastAsia="Times New Roman" w:cs="Arial"/>
          <w:szCs w:val="24"/>
          <w:lang w:eastAsia="fr-FR"/>
        </w:rPr>
        <w:t>, Genève 2004, p. 183-</w:t>
      </w:r>
      <w:r w:rsidR="00AB2F03" w:rsidRPr="00011A9E">
        <w:rPr>
          <w:rFonts w:eastAsia="Times New Roman" w:cs="Arial"/>
          <w:szCs w:val="24"/>
          <w:lang w:eastAsia="fr-FR"/>
        </w:rPr>
        <w:t>203.</w:t>
      </w:r>
    </w:p>
    <w:p w:rsidR="009509AD" w:rsidRPr="00011A9E" w:rsidRDefault="009509AD" w:rsidP="003A561F">
      <w:pPr>
        <w:spacing w:line="240" w:lineRule="auto"/>
        <w:jc w:val="both"/>
        <w:rPr>
          <w:rFonts w:eastAsia="Times New Roman" w:cs="Arial"/>
          <w:szCs w:val="24"/>
          <w:lang w:eastAsia="fr-FR"/>
        </w:rPr>
      </w:pPr>
    </w:p>
    <w:p w:rsidR="00F31E74" w:rsidRPr="00011A9E" w:rsidRDefault="009509AD" w:rsidP="003A561F">
      <w:pPr>
        <w:pStyle w:val="teks"/>
        <w:spacing w:before="0" w:beforeAutospacing="0" w:after="120" w:afterAutospacing="0"/>
        <w:jc w:val="both"/>
        <w:rPr>
          <w:rFonts w:ascii="Constantia" w:hAnsi="Constantia"/>
          <w:lang w:val="en-US"/>
        </w:rPr>
      </w:pPr>
      <w:proofErr w:type="spellStart"/>
      <w:r w:rsidRPr="00011A9E">
        <w:rPr>
          <w:rFonts w:ascii="Constantia" w:hAnsi="Constantia"/>
          <w:lang w:val="en-US"/>
        </w:rPr>
        <w:t>Lints</w:t>
      </w:r>
      <w:proofErr w:type="spellEnd"/>
      <w:r w:rsidRPr="00011A9E">
        <w:rPr>
          <w:rFonts w:ascii="Constantia" w:hAnsi="Constantia"/>
          <w:lang w:val="en-US"/>
        </w:rPr>
        <w:t>, Richard</w:t>
      </w:r>
      <w:r w:rsidR="00F31E74" w:rsidRPr="00011A9E">
        <w:rPr>
          <w:rFonts w:ascii="Constantia" w:hAnsi="Constantia"/>
          <w:lang w:val="en-US"/>
        </w:rPr>
        <w:t>,</w:t>
      </w:r>
      <w:r w:rsidRPr="00011A9E">
        <w:rPr>
          <w:rFonts w:ascii="Constantia" w:hAnsi="Constantia"/>
          <w:lang w:val="en-US"/>
        </w:rPr>
        <w:t xml:space="preserve"> “The </w:t>
      </w:r>
      <w:proofErr w:type="spellStart"/>
      <w:r w:rsidRPr="00011A9E">
        <w:rPr>
          <w:rFonts w:ascii="Constantia" w:hAnsi="Constantia"/>
          <w:lang w:val="en-US"/>
        </w:rPr>
        <w:t>Postpositivist</w:t>
      </w:r>
      <w:proofErr w:type="spellEnd"/>
      <w:r w:rsidRPr="00011A9E">
        <w:rPr>
          <w:rFonts w:ascii="Constantia" w:hAnsi="Constantia"/>
          <w:lang w:val="en-US"/>
        </w:rPr>
        <w:t xml:space="preserve"> Choice: Tracy or </w:t>
      </w:r>
      <w:proofErr w:type="spellStart"/>
      <w:r w:rsidRPr="00011A9E">
        <w:rPr>
          <w:rFonts w:ascii="Constantia" w:hAnsi="Constantia"/>
          <w:lang w:val="en-US"/>
        </w:rPr>
        <w:t>Lindbeck</w:t>
      </w:r>
      <w:proofErr w:type="spellEnd"/>
      <w:r w:rsidRPr="00011A9E">
        <w:rPr>
          <w:rFonts w:ascii="Constantia" w:hAnsi="Constantia"/>
          <w:lang w:val="en-US"/>
        </w:rPr>
        <w:t xml:space="preserve">?” In </w:t>
      </w:r>
      <w:r w:rsidRPr="00011A9E">
        <w:rPr>
          <w:rFonts w:ascii="Constantia" w:hAnsi="Constantia"/>
          <w:i/>
          <w:iCs/>
          <w:lang w:val="en-US"/>
        </w:rPr>
        <w:t>Journal of the American Academy of Religion</w:t>
      </w:r>
      <w:r w:rsidRPr="00011A9E">
        <w:rPr>
          <w:rFonts w:ascii="Constantia" w:hAnsi="Constantia"/>
          <w:lang w:val="en-US"/>
        </w:rPr>
        <w:t>, 6</w:t>
      </w:r>
      <w:r w:rsidR="00F31E74" w:rsidRPr="00011A9E">
        <w:rPr>
          <w:rFonts w:ascii="Constantia" w:hAnsi="Constantia"/>
          <w:lang w:val="en-US"/>
        </w:rPr>
        <w:t xml:space="preserve">1, 1993, p. </w:t>
      </w:r>
      <w:r w:rsidRPr="00011A9E">
        <w:rPr>
          <w:rFonts w:ascii="Constantia" w:hAnsi="Constantia"/>
          <w:lang w:val="en-US"/>
        </w:rPr>
        <w:t xml:space="preserve">655-77. </w:t>
      </w:r>
    </w:p>
    <w:p w:rsidR="009509AD" w:rsidRPr="00011A9E" w:rsidRDefault="009509AD" w:rsidP="003A561F">
      <w:pPr>
        <w:pStyle w:val="teks"/>
        <w:spacing w:before="0" w:beforeAutospacing="0" w:after="120" w:afterAutospacing="0"/>
        <w:jc w:val="both"/>
        <w:rPr>
          <w:rFonts w:ascii="Constantia" w:hAnsi="Constantia"/>
          <w:lang w:val="en-US"/>
        </w:rPr>
      </w:pPr>
      <w:r w:rsidRPr="00011A9E">
        <w:rPr>
          <w:rFonts w:ascii="Constantia" w:hAnsi="Constantia"/>
          <w:lang w:val="en-US"/>
        </w:rPr>
        <w:lastRenderedPageBreak/>
        <w:t xml:space="preserve">Marshall, </w:t>
      </w:r>
      <w:r w:rsidR="00F31E74" w:rsidRPr="00011A9E">
        <w:rPr>
          <w:rFonts w:ascii="Constantia" w:hAnsi="Constantia"/>
          <w:lang w:val="en-US"/>
        </w:rPr>
        <w:t xml:space="preserve">Bruce D., </w:t>
      </w:r>
      <w:r w:rsidRPr="00011A9E">
        <w:rPr>
          <w:rFonts w:ascii="Constantia" w:hAnsi="Constantia"/>
          <w:lang w:val="en-US"/>
        </w:rPr>
        <w:t xml:space="preserve">“Aquinas as Postliberal Theologian.” </w:t>
      </w:r>
      <w:r w:rsidR="000B4705" w:rsidRPr="00011A9E">
        <w:rPr>
          <w:rFonts w:ascii="Constantia" w:hAnsi="Constantia"/>
          <w:lang w:val="en-US"/>
        </w:rPr>
        <w:t>i</w:t>
      </w:r>
      <w:r w:rsidRPr="00011A9E">
        <w:rPr>
          <w:rFonts w:ascii="Constantia" w:hAnsi="Constantia"/>
          <w:lang w:val="en-US"/>
        </w:rPr>
        <w:t>n</w:t>
      </w:r>
      <w:r w:rsidRPr="00011A9E">
        <w:rPr>
          <w:rFonts w:ascii="Constantia" w:hAnsi="Constantia"/>
          <w:i/>
          <w:iCs/>
          <w:lang w:val="en-US"/>
        </w:rPr>
        <w:t xml:space="preserve"> The Thomist,</w:t>
      </w:r>
      <w:r w:rsidR="0013265C" w:rsidRPr="00011A9E">
        <w:rPr>
          <w:rFonts w:ascii="Constantia" w:hAnsi="Constantia"/>
          <w:lang w:val="en-US"/>
        </w:rPr>
        <w:t xml:space="preserve">1989, </w:t>
      </w:r>
      <w:r w:rsidRPr="00011A9E">
        <w:rPr>
          <w:rFonts w:ascii="Constantia" w:hAnsi="Constantia"/>
          <w:lang w:val="en-US"/>
        </w:rPr>
        <w:t>53, 3</w:t>
      </w:r>
      <w:r w:rsidR="0013265C" w:rsidRPr="00011A9E">
        <w:rPr>
          <w:rFonts w:ascii="Constantia" w:hAnsi="Constantia"/>
          <w:lang w:val="en-US"/>
        </w:rPr>
        <w:t>,</w:t>
      </w:r>
      <w:r w:rsidRPr="00011A9E">
        <w:rPr>
          <w:rFonts w:ascii="Constantia" w:hAnsi="Constantia"/>
          <w:lang w:val="en-US"/>
        </w:rPr>
        <w:t xml:space="preserve"> </w:t>
      </w:r>
      <w:r w:rsidR="00F31E74" w:rsidRPr="00011A9E">
        <w:rPr>
          <w:rFonts w:ascii="Constantia" w:hAnsi="Constantia"/>
          <w:lang w:val="en-US"/>
        </w:rPr>
        <w:t>p. </w:t>
      </w:r>
      <w:r w:rsidRPr="00011A9E">
        <w:rPr>
          <w:rFonts w:ascii="Constantia" w:hAnsi="Constantia"/>
          <w:lang w:val="en-US"/>
        </w:rPr>
        <w:t>353–402.</w:t>
      </w:r>
    </w:p>
    <w:p w:rsidR="009509AD" w:rsidRPr="00011A9E" w:rsidRDefault="009509AD" w:rsidP="003A561F">
      <w:pPr>
        <w:pStyle w:val="teks"/>
        <w:spacing w:before="0" w:beforeAutospacing="0" w:after="120" w:afterAutospacing="0"/>
        <w:jc w:val="both"/>
        <w:rPr>
          <w:rFonts w:ascii="Constantia" w:hAnsi="Constantia"/>
          <w:lang w:val="en-US"/>
        </w:rPr>
      </w:pPr>
      <w:proofErr w:type="spellStart"/>
      <w:r w:rsidRPr="00011A9E">
        <w:rPr>
          <w:rFonts w:ascii="Constantia" w:hAnsi="Constantia"/>
          <w:lang w:val="en-US"/>
        </w:rPr>
        <w:t>Surin</w:t>
      </w:r>
      <w:proofErr w:type="spellEnd"/>
      <w:r w:rsidRPr="00011A9E">
        <w:rPr>
          <w:rFonts w:ascii="Constantia" w:hAnsi="Constantia"/>
          <w:lang w:val="en-US"/>
        </w:rPr>
        <w:t xml:space="preserve">, </w:t>
      </w:r>
      <w:r w:rsidR="0093477C" w:rsidRPr="00011A9E">
        <w:rPr>
          <w:rFonts w:ascii="Constantia" w:hAnsi="Constantia"/>
          <w:lang w:val="en-US"/>
        </w:rPr>
        <w:t xml:space="preserve">Kenneth, </w:t>
      </w:r>
      <w:r w:rsidRPr="00011A9E">
        <w:rPr>
          <w:rFonts w:ascii="Constantia" w:hAnsi="Constantia"/>
          <w:lang w:val="en-US"/>
        </w:rPr>
        <w:t xml:space="preserve">“’Many Religions and the One True Faith’: An Examination of </w:t>
      </w:r>
      <w:proofErr w:type="spellStart"/>
      <w:r w:rsidRPr="00011A9E">
        <w:rPr>
          <w:rFonts w:ascii="Constantia" w:hAnsi="Constantia"/>
          <w:lang w:val="en-US"/>
        </w:rPr>
        <w:t>Lindbeck’s</w:t>
      </w:r>
      <w:proofErr w:type="spellEnd"/>
      <w:r w:rsidRPr="00011A9E">
        <w:rPr>
          <w:rFonts w:ascii="Constantia" w:hAnsi="Constantia"/>
          <w:lang w:val="en-US"/>
        </w:rPr>
        <w:t xml:space="preserve"> Chapter Three.” </w:t>
      </w:r>
      <w:r w:rsidR="00695157" w:rsidRPr="00011A9E">
        <w:rPr>
          <w:rFonts w:ascii="Constantia" w:hAnsi="Constantia"/>
          <w:lang w:val="en-US"/>
        </w:rPr>
        <w:t>i</w:t>
      </w:r>
      <w:r w:rsidRPr="00011A9E">
        <w:rPr>
          <w:rFonts w:ascii="Constantia" w:hAnsi="Constantia"/>
          <w:lang w:val="en-US"/>
        </w:rPr>
        <w:t xml:space="preserve">n </w:t>
      </w:r>
      <w:r w:rsidRPr="00011A9E">
        <w:rPr>
          <w:rFonts w:ascii="Constantia" w:hAnsi="Constantia"/>
          <w:i/>
          <w:iCs/>
          <w:lang w:val="en-US"/>
        </w:rPr>
        <w:t>Modern Theology</w:t>
      </w:r>
      <w:r w:rsidRPr="00011A9E">
        <w:rPr>
          <w:rFonts w:ascii="Constantia" w:hAnsi="Constantia"/>
          <w:lang w:val="en-US"/>
        </w:rPr>
        <w:t xml:space="preserve">, </w:t>
      </w:r>
      <w:r w:rsidR="00695157" w:rsidRPr="00011A9E">
        <w:rPr>
          <w:rFonts w:ascii="Constantia" w:hAnsi="Constantia"/>
          <w:lang w:val="en-US"/>
        </w:rPr>
        <w:t xml:space="preserve">1988, </w:t>
      </w:r>
      <w:r w:rsidRPr="00011A9E">
        <w:rPr>
          <w:rFonts w:ascii="Constantia" w:hAnsi="Constantia"/>
          <w:lang w:val="en-US"/>
        </w:rPr>
        <w:t>4</w:t>
      </w:r>
      <w:r w:rsidR="00695157" w:rsidRPr="00011A9E">
        <w:rPr>
          <w:rFonts w:ascii="Constantia" w:hAnsi="Constantia"/>
          <w:lang w:val="en-US"/>
        </w:rPr>
        <w:t>,</w:t>
      </w:r>
      <w:r w:rsidRPr="00011A9E">
        <w:rPr>
          <w:rFonts w:ascii="Constantia" w:hAnsi="Constantia"/>
          <w:lang w:val="en-US"/>
        </w:rPr>
        <w:t xml:space="preserve"> </w:t>
      </w:r>
      <w:r w:rsidR="00F31E74" w:rsidRPr="00011A9E">
        <w:rPr>
          <w:rFonts w:ascii="Constantia" w:hAnsi="Constantia"/>
          <w:lang w:val="en-US"/>
        </w:rPr>
        <w:t>p. </w:t>
      </w:r>
      <w:r w:rsidRPr="00011A9E">
        <w:rPr>
          <w:rFonts w:ascii="Constantia" w:hAnsi="Constantia"/>
          <w:lang w:val="en-US"/>
        </w:rPr>
        <w:t>187-208.</w:t>
      </w:r>
    </w:p>
    <w:p w:rsidR="009509AD" w:rsidRPr="00011A9E" w:rsidRDefault="009509AD" w:rsidP="003A561F">
      <w:pPr>
        <w:pStyle w:val="teks"/>
        <w:spacing w:before="0" w:beforeAutospacing="0" w:after="120" w:afterAutospacing="0"/>
        <w:jc w:val="both"/>
        <w:rPr>
          <w:rFonts w:ascii="Constantia" w:hAnsi="Constantia"/>
          <w:lang w:val="en-US"/>
        </w:rPr>
      </w:pPr>
      <w:r w:rsidRPr="00011A9E">
        <w:rPr>
          <w:rFonts w:ascii="Constantia" w:hAnsi="Constantia"/>
          <w:lang w:val="en-US"/>
        </w:rPr>
        <w:t>Tilley,</w:t>
      </w:r>
      <w:r w:rsidR="0093477C" w:rsidRPr="00011A9E">
        <w:rPr>
          <w:rFonts w:ascii="Constantia" w:hAnsi="Constantia"/>
          <w:lang w:val="en-US"/>
        </w:rPr>
        <w:t xml:space="preserve"> Terrence W.,</w:t>
      </w:r>
      <w:r w:rsidRPr="00011A9E">
        <w:rPr>
          <w:rFonts w:ascii="Constantia" w:hAnsi="Constantia"/>
          <w:lang w:val="en-US"/>
        </w:rPr>
        <w:t xml:space="preserve"> “Incommensurability, Intratextuality, and Fideism.” In </w:t>
      </w:r>
      <w:r w:rsidRPr="00011A9E">
        <w:rPr>
          <w:rFonts w:ascii="Constantia" w:hAnsi="Constantia"/>
          <w:i/>
          <w:iCs/>
          <w:lang w:val="en-US"/>
        </w:rPr>
        <w:t>Modern Theology</w:t>
      </w:r>
      <w:r w:rsidRPr="00011A9E">
        <w:rPr>
          <w:rFonts w:ascii="Constantia" w:hAnsi="Constantia"/>
          <w:lang w:val="en-US"/>
        </w:rPr>
        <w:t>, 5, no. 2 (January)</w:t>
      </w:r>
      <w:r w:rsidR="00F31E74" w:rsidRPr="00011A9E">
        <w:rPr>
          <w:rFonts w:ascii="Constantia" w:hAnsi="Constantia"/>
          <w:lang w:val="en-US"/>
        </w:rPr>
        <w:t xml:space="preserve">, </w:t>
      </w:r>
      <w:r w:rsidR="00695157" w:rsidRPr="00011A9E">
        <w:rPr>
          <w:rFonts w:ascii="Constantia" w:hAnsi="Constantia"/>
          <w:lang w:val="en-US"/>
        </w:rPr>
        <w:t xml:space="preserve">1989, </w:t>
      </w:r>
      <w:r w:rsidR="00F31E74" w:rsidRPr="00011A9E">
        <w:rPr>
          <w:rFonts w:ascii="Constantia" w:hAnsi="Constantia"/>
          <w:lang w:val="en-US"/>
        </w:rPr>
        <w:t>p. </w:t>
      </w:r>
      <w:r w:rsidRPr="00011A9E">
        <w:rPr>
          <w:rFonts w:ascii="Constantia" w:hAnsi="Constantia"/>
          <w:lang w:val="en-US"/>
        </w:rPr>
        <w:t>87-111.</w:t>
      </w:r>
    </w:p>
    <w:p w:rsidR="00011A9E" w:rsidRPr="00011A9E" w:rsidRDefault="009509AD" w:rsidP="00011A9E">
      <w:pPr>
        <w:pStyle w:val="teks"/>
        <w:spacing w:before="0" w:beforeAutospacing="0" w:after="120" w:afterAutospacing="0"/>
        <w:jc w:val="both"/>
        <w:rPr>
          <w:rFonts w:ascii="Constantia" w:hAnsi="Constantia"/>
          <w:lang w:val="en-US"/>
        </w:rPr>
      </w:pPr>
      <w:r w:rsidRPr="00011A9E">
        <w:rPr>
          <w:rFonts w:ascii="Constantia" w:hAnsi="Constantia"/>
          <w:lang w:val="en-US"/>
        </w:rPr>
        <w:t>Tracy</w:t>
      </w:r>
      <w:r w:rsidR="00F31E74" w:rsidRPr="00011A9E">
        <w:rPr>
          <w:rFonts w:ascii="Constantia" w:hAnsi="Constantia"/>
          <w:lang w:val="en-US"/>
        </w:rPr>
        <w:t>,</w:t>
      </w:r>
      <w:r w:rsidR="002C2A28" w:rsidRPr="00011A9E">
        <w:rPr>
          <w:rFonts w:ascii="Constantia" w:hAnsi="Constantia"/>
          <w:lang w:val="en-US"/>
        </w:rPr>
        <w:t xml:space="preserve"> David</w:t>
      </w:r>
      <w:r w:rsidRPr="00011A9E">
        <w:rPr>
          <w:rFonts w:ascii="Constantia" w:hAnsi="Constantia"/>
          <w:lang w:val="en-US"/>
        </w:rPr>
        <w:t>, “</w:t>
      </w:r>
      <w:proofErr w:type="spellStart"/>
      <w:r w:rsidRPr="00011A9E">
        <w:rPr>
          <w:rFonts w:ascii="Constantia" w:hAnsi="Constantia"/>
          <w:lang w:val="en-US"/>
        </w:rPr>
        <w:t>Lindbeck’s</w:t>
      </w:r>
      <w:proofErr w:type="spellEnd"/>
      <w:r w:rsidRPr="00011A9E">
        <w:rPr>
          <w:rFonts w:ascii="Constantia" w:hAnsi="Constantia"/>
          <w:lang w:val="en-US"/>
        </w:rPr>
        <w:t xml:space="preserve"> New Program for Theology: A Reflection” </w:t>
      </w:r>
      <w:r w:rsidR="00F31E74" w:rsidRPr="00011A9E">
        <w:rPr>
          <w:rFonts w:ascii="Constantia" w:hAnsi="Constantia"/>
          <w:lang w:val="en-US"/>
        </w:rPr>
        <w:t>i</w:t>
      </w:r>
      <w:r w:rsidRPr="00011A9E">
        <w:rPr>
          <w:rFonts w:ascii="Constantia" w:hAnsi="Constantia"/>
          <w:lang w:val="en-US"/>
        </w:rPr>
        <w:t xml:space="preserve">n </w:t>
      </w:r>
      <w:r w:rsidRPr="00011A9E">
        <w:rPr>
          <w:rFonts w:ascii="Constantia" w:hAnsi="Constantia"/>
          <w:i/>
          <w:iCs/>
          <w:lang w:val="en-US"/>
        </w:rPr>
        <w:t>The Thomist</w:t>
      </w:r>
      <w:r w:rsidRPr="00011A9E">
        <w:rPr>
          <w:rFonts w:ascii="Constantia" w:hAnsi="Constantia"/>
          <w:lang w:val="en-US"/>
        </w:rPr>
        <w:t>, 49</w:t>
      </w:r>
      <w:r w:rsidR="002C2A28" w:rsidRPr="00011A9E">
        <w:rPr>
          <w:rFonts w:ascii="Constantia" w:hAnsi="Constantia"/>
          <w:lang w:val="en-US"/>
        </w:rPr>
        <w:t>, 1985,</w:t>
      </w:r>
      <w:r w:rsidRPr="00011A9E">
        <w:rPr>
          <w:rFonts w:ascii="Constantia" w:hAnsi="Constantia"/>
          <w:lang w:val="en-US"/>
        </w:rPr>
        <w:t xml:space="preserve"> </w:t>
      </w:r>
      <w:r w:rsidR="002C2A28" w:rsidRPr="00011A9E">
        <w:rPr>
          <w:rFonts w:ascii="Constantia" w:hAnsi="Constantia"/>
          <w:lang w:val="en-US"/>
        </w:rPr>
        <w:t xml:space="preserve">p. </w:t>
      </w:r>
      <w:r w:rsidRPr="00011A9E">
        <w:rPr>
          <w:rFonts w:ascii="Constantia" w:hAnsi="Constantia"/>
          <w:lang w:val="en-US"/>
        </w:rPr>
        <w:t>460-72.</w:t>
      </w:r>
    </w:p>
    <w:p w:rsidR="00011A9E" w:rsidRPr="00011A9E" w:rsidRDefault="00011A9E" w:rsidP="00011A9E">
      <w:pPr>
        <w:spacing w:after="160" w:line="259" w:lineRule="auto"/>
        <w:rPr>
          <w:b/>
        </w:rPr>
      </w:pPr>
      <w:r w:rsidRPr="00011A9E">
        <w:rPr>
          <w:b/>
        </w:rPr>
        <w:t xml:space="preserve"> </w:t>
      </w:r>
    </w:p>
    <w:sectPr w:rsidR="00011A9E" w:rsidRPr="0001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77" w:rsidRDefault="00945077" w:rsidP="0091552C">
      <w:pPr>
        <w:spacing w:line="240" w:lineRule="auto"/>
      </w:pPr>
      <w:r>
        <w:separator/>
      </w:r>
    </w:p>
  </w:endnote>
  <w:endnote w:type="continuationSeparator" w:id="0">
    <w:p w:rsidR="00945077" w:rsidRDefault="00945077" w:rsidP="00915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77" w:rsidRDefault="00945077" w:rsidP="0091552C">
      <w:pPr>
        <w:spacing w:line="240" w:lineRule="auto"/>
      </w:pPr>
      <w:r>
        <w:separator/>
      </w:r>
    </w:p>
  </w:footnote>
  <w:footnote w:type="continuationSeparator" w:id="0">
    <w:p w:rsidR="00945077" w:rsidRDefault="00945077" w:rsidP="0091552C">
      <w:pPr>
        <w:spacing w:line="240" w:lineRule="auto"/>
      </w:pPr>
      <w:r>
        <w:continuationSeparator/>
      </w:r>
    </w:p>
  </w:footnote>
  <w:footnote w:id="1">
    <w:p w:rsidR="0091552C" w:rsidRPr="00011A9E" w:rsidRDefault="0091552C" w:rsidP="00011A9E">
      <w:pPr>
        <w:pStyle w:val="Notedebasdepage"/>
        <w:jc w:val="both"/>
      </w:pPr>
      <w:r w:rsidRPr="00011A9E">
        <w:rPr>
          <w:rStyle w:val="Appelnotedebasdep"/>
        </w:rPr>
        <w:footnoteRef/>
      </w:r>
      <w:r w:rsidR="001A651F" w:rsidRPr="00011A9E">
        <w:t> </w:t>
      </w:r>
      <w:proofErr w:type="spellStart"/>
      <w:r w:rsidRPr="00011A9E">
        <w:t>Lindbeck</w:t>
      </w:r>
      <w:proofErr w:type="spellEnd"/>
      <w:r w:rsidRPr="00011A9E">
        <w:t xml:space="preserve"> parle de « réconciliation doctrinale sans capitulation » dans George Lindbeck, </w:t>
      </w:r>
      <w:r w:rsidRPr="00011A9E">
        <w:rPr>
          <w:i/>
        </w:rPr>
        <w:t>La nature des doctrines. Religion et théologie à l’âge du post-libéralisme</w:t>
      </w:r>
      <w:r w:rsidRPr="00011A9E">
        <w:t xml:space="preserve">, Paris, Van </w:t>
      </w:r>
      <w:proofErr w:type="spellStart"/>
      <w:r w:rsidRPr="00011A9E">
        <w:t>Dieren</w:t>
      </w:r>
      <w:proofErr w:type="spellEnd"/>
      <w:r w:rsidRPr="00011A9E">
        <w:t>, 2003</w:t>
      </w:r>
      <w:r w:rsidR="00032317" w:rsidRPr="00011A9E">
        <w:t xml:space="preserve"> (1984), p. 17. </w:t>
      </w:r>
    </w:p>
  </w:footnote>
  <w:footnote w:id="2">
    <w:p w:rsidR="00397789" w:rsidRPr="00011A9E" w:rsidRDefault="00397789" w:rsidP="00011A9E">
      <w:pPr>
        <w:pStyle w:val="Notedebasdepage"/>
        <w:jc w:val="both"/>
        <w:rPr>
          <w:lang w:val="en-US"/>
        </w:rPr>
      </w:pPr>
      <w:r w:rsidRPr="00011A9E">
        <w:rPr>
          <w:rStyle w:val="Appelnotedebasdep"/>
        </w:rPr>
        <w:footnoteRef/>
      </w:r>
      <w:r w:rsidRPr="00011A9E">
        <w:t xml:space="preserve"> </w:t>
      </w:r>
      <w:r w:rsidRPr="00011A9E">
        <w:rPr>
          <w:szCs w:val="24"/>
        </w:rPr>
        <w:t xml:space="preserve">Voir à ce sujet le débat de Tracy avec Derrida : David Tracy, « Fragments: The Spiritual Situation of Our Times », in </w:t>
      </w:r>
      <w:proofErr w:type="spellStart"/>
      <w:r w:rsidRPr="00011A9E">
        <w:rPr>
          <w:i/>
          <w:iCs/>
          <w:szCs w:val="24"/>
        </w:rPr>
        <w:t>God</w:t>
      </w:r>
      <w:proofErr w:type="spellEnd"/>
      <w:r w:rsidRPr="00011A9E">
        <w:rPr>
          <w:i/>
          <w:iCs/>
          <w:szCs w:val="24"/>
        </w:rPr>
        <w:t xml:space="preserve">, the Gift, and </w:t>
      </w:r>
      <w:proofErr w:type="spellStart"/>
      <w:r w:rsidRPr="00011A9E">
        <w:rPr>
          <w:i/>
          <w:iCs/>
          <w:szCs w:val="24"/>
        </w:rPr>
        <w:t>Postmodernism</w:t>
      </w:r>
      <w:proofErr w:type="spellEnd"/>
      <w:r w:rsidRPr="00011A9E">
        <w:rPr>
          <w:szCs w:val="24"/>
        </w:rPr>
        <w:t xml:space="preserve">, édité par John D. </w:t>
      </w:r>
      <w:proofErr w:type="spellStart"/>
      <w:r w:rsidRPr="00011A9E">
        <w:rPr>
          <w:szCs w:val="24"/>
        </w:rPr>
        <w:t>Caputo</w:t>
      </w:r>
      <w:proofErr w:type="spellEnd"/>
      <w:r w:rsidRPr="00011A9E">
        <w:rPr>
          <w:szCs w:val="24"/>
        </w:rPr>
        <w:t xml:space="preserve"> et Michael J. </w:t>
      </w:r>
      <w:proofErr w:type="spellStart"/>
      <w:r w:rsidRPr="00011A9E">
        <w:rPr>
          <w:szCs w:val="24"/>
        </w:rPr>
        <w:t>Scanlon</w:t>
      </w:r>
      <w:proofErr w:type="spellEnd"/>
      <w:r w:rsidRPr="00011A9E">
        <w:rPr>
          <w:szCs w:val="24"/>
        </w:rPr>
        <w:t xml:space="preserve">, Indiana </w:t>
      </w:r>
      <w:proofErr w:type="spellStart"/>
      <w:r w:rsidRPr="00011A9E">
        <w:rPr>
          <w:szCs w:val="24"/>
        </w:rPr>
        <w:t>Series</w:t>
      </w:r>
      <w:proofErr w:type="spellEnd"/>
      <w:r w:rsidRPr="00011A9E">
        <w:rPr>
          <w:szCs w:val="24"/>
        </w:rPr>
        <w:t xml:space="preserve"> in the </w:t>
      </w:r>
      <w:proofErr w:type="spellStart"/>
      <w:r w:rsidRPr="00011A9E">
        <w:rPr>
          <w:szCs w:val="24"/>
        </w:rPr>
        <w:t>Philosophy</w:t>
      </w:r>
      <w:proofErr w:type="spellEnd"/>
      <w:r w:rsidRPr="00011A9E">
        <w:rPr>
          <w:szCs w:val="24"/>
        </w:rPr>
        <w:t xml:space="preserve"> of Religion. </w:t>
      </w:r>
      <w:r w:rsidRPr="00011A9E">
        <w:rPr>
          <w:szCs w:val="24"/>
          <w:lang w:val="en-US"/>
        </w:rPr>
        <w:t>Bloomington, IN, Indiana University Press, 1999, p. 170-184.</w:t>
      </w:r>
    </w:p>
  </w:footnote>
  <w:footnote w:id="3">
    <w:p w:rsidR="00011A9E" w:rsidRPr="00011A9E" w:rsidRDefault="00011A9E" w:rsidP="00011A9E">
      <w:pPr>
        <w:pStyle w:val="Notedebasdepage"/>
        <w:jc w:val="both"/>
        <w:rPr>
          <w:lang w:val="en-US"/>
        </w:rPr>
      </w:pPr>
      <w:r w:rsidRPr="00011A9E">
        <w:rPr>
          <w:rStyle w:val="Appelnotedebasdep"/>
        </w:rPr>
        <w:footnoteRef/>
      </w:r>
      <w:r w:rsidRPr="00011A9E">
        <w:rPr>
          <w:lang w:val="en-US"/>
        </w:rPr>
        <w:t xml:space="preserve"> Donald </w:t>
      </w:r>
      <w:r w:rsidRPr="00011A9E">
        <w:rPr>
          <w:rStyle w:val="CitationHTML"/>
          <w:i w:val="0"/>
          <w:lang w:val="en-US"/>
        </w:rPr>
        <w:t xml:space="preserve">Davidson, </w:t>
      </w:r>
      <w:r w:rsidRPr="00011A9E">
        <w:rPr>
          <w:rStyle w:val="CitationHTML"/>
          <w:lang w:val="en-US"/>
        </w:rPr>
        <w:t>"Ch. 13: On the Very Idea of a Conceptual Scheme". Inquiries into Truth and Interpretation. Oxford: Clarendon Press</w:t>
      </w:r>
      <w:r w:rsidRPr="00011A9E">
        <w:rPr>
          <w:rStyle w:val="CitationHTML"/>
          <w:i w:val="0"/>
          <w:lang w:val="en-US"/>
        </w:rPr>
        <w:t>, 1984 [1974].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715B"/>
    <w:multiLevelType w:val="hybridMultilevel"/>
    <w:tmpl w:val="CBCE5D2C"/>
    <w:lvl w:ilvl="0" w:tplc="82CEA4CC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2C"/>
    <w:rsid w:val="00001227"/>
    <w:rsid w:val="000014BF"/>
    <w:rsid w:val="00011A9E"/>
    <w:rsid w:val="0002025F"/>
    <w:rsid w:val="00032317"/>
    <w:rsid w:val="00036612"/>
    <w:rsid w:val="00080E26"/>
    <w:rsid w:val="00082A59"/>
    <w:rsid w:val="000939B1"/>
    <w:rsid w:val="000959DB"/>
    <w:rsid w:val="000B4705"/>
    <w:rsid w:val="000D4635"/>
    <w:rsid w:val="000E48E6"/>
    <w:rsid w:val="000F4079"/>
    <w:rsid w:val="001230CE"/>
    <w:rsid w:val="001247D5"/>
    <w:rsid w:val="00127596"/>
    <w:rsid w:val="00130248"/>
    <w:rsid w:val="0013265C"/>
    <w:rsid w:val="00156463"/>
    <w:rsid w:val="0018082C"/>
    <w:rsid w:val="00192C4B"/>
    <w:rsid w:val="001A651F"/>
    <w:rsid w:val="001A6C4E"/>
    <w:rsid w:val="00213B44"/>
    <w:rsid w:val="00220F1C"/>
    <w:rsid w:val="00253ABA"/>
    <w:rsid w:val="002542EE"/>
    <w:rsid w:val="00260825"/>
    <w:rsid w:val="00262335"/>
    <w:rsid w:val="0027140B"/>
    <w:rsid w:val="0028207C"/>
    <w:rsid w:val="00286442"/>
    <w:rsid w:val="00287A50"/>
    <w:rsid w:val="002A4A46"/>
    <w:rsid w:val="002A6A9A"/>
    <w:rsid w:val="002B2A1D"/>
    <w:rsid w:val="002B6412"/>
    <w:rsid w:val="002C2A28"/>
    <w:rsid w:val="002D510A"/>
    <w:rsid w:val="002D729C"/>
    <w:rsid w:val="002E0968"/>
    <w:rsid w:val="00310731"/>
    <w:rsid w:val="00333DE3"/>
    <w:rsid w:val="003372EA"/>
    <w:rsid w:val="00341771"/>
    <w:rsid w:val="003419DB"/>
    <w:rsid w:val="00342625"/>
    <w:rsid w:val="00377CC3"/>
    <w:rsid w:val="00397789"/>
    <w:rsid w:val="003A561F"/>
    <w:rsid w:val="003D56DB"/>
    <w:rsid w:val="003E3CC7"/>
    <w:rsid w:val="00407972"/>
    <w:rsid w:val="0046007D"/>
    <w:rsid w:val="00463BAB"/>
    <w:rsid w:val="004736E4"/>
    <w:rsid w:val="004847A3"/>
    <w:rsid w:val="004F680A"/>
    <w:rsid w:val="005075F8"/>
    <w:rsid w:val="00507C87"/>
    <w:rsid w:val="0055479D"/>
    <w:rsid w:val="00560853"/>
    <w:rsid w:val="00575F4F"/>
    <w:rsid w:val="00584E5C"/>
    <w:rsid w:val="0058528B"/>
    <w:rsid w:val="00593002"/>
    <w:rsid w:val="005A20E1"/>
    <w:rsid w:val="005B7133"/>
    <w:rsid w:val="005C2DD7"/>
    <w:rsid w:val="005C6153"/>
    <w:rsid w:val="005E7EFC"/>
    <w:rsid w:val="00605C1B"/>
    <w:rsid w:val="00627DA5"/>
    <w:rsid w:val="00690145"/>
    <w:rsid w:val="00695157"/>
    <w:rsid w:val="0069725E"/>
    <w:rsid w:val="006B4FA3"/>
    <w:rsid w:val="006C605F"/>
    <w:rsid w:val="006C799B"/>
    <w:rsid w:val="006E523D"/>
    <w:rsid w:val="006F1702"/>
    <w:rsid w:val="007014A2"/>
    <w:rsid w:val="00703EB5"/>
    <w:rsid w:val="007130C8"/>
    <w:rsid w:val="00713465"/>
    <w:rsid w:val="00730491"/>
    <w:rsid w:val="0073097F"/>
    <w:rsid w:val="0074256C"/>
    <w:rsid w:val="00751237"/>
    <w:rsid w:val="00760256"/>
    <w:rsid w:val="00761651"/>
    <w:rsid w:val="00787B24"/>
    <w:rsid w:val="00790BE1"/>
    <w:rsid w:val="007B135D"/>
    <w:rsid w:val="007C1DF5"/>
    <w:rsid w:val="007D1DF2"/>
    <w:rsid w:val="007D47E4"/>
    <w:rsid w:val="007D5EA8"/>
    <w:rsid w:val="007E4639"/>
    <w:rsid w:val="007E54B6"/>
    <w:rsid w:val="007F51BC"/>
    <w:rsid w:val="00811891"/>
    <w:rsid w:val="00840676"/>
    <w:rsid w:val="008465AF"/>
    <w:rsid w:val="00855017"/>
    <w:rsid w:val="0088022D"/>
    <w:rsid w:val="008B3AAE"/>
    <w:rsid w:val="008E4CEE"/>
    <w:rsid w:val="008E5489"/>
    <w:rsid w:val="00900021"/>
    <w:rsid w:val="009046FD"/>
    <w:rsid w:val="00905AC6"/>
    <w:rsid w:val="00910893"/>
    <w:rsid w:val="0091552C"/>
    <w:rsid w:val="0093477C"/>
    <w:rsid w:val="00940AB2"/>
    <w:rsid w:val="00945077"/>
    <w:rsid w:val="009509AD"/>
    <w:rsid w:val="0099337A"/>
    <w:rsid w:val="009B1931"/>
    <w:rsid w:val="009B2B76"/>
    <w:rsid w:val="009D4E4C"/>
    <w:rsid w:val="009D7528"/>
    <w:rsid w:val="00A15326"/>
    <w:rsid w:val="00A164DF"/>
    <w:rsid w:val="00A22409"/>
    <w:rsid w:val="00A341D0"/>
    <w:rsid w:val="00A66DD7"/>
    <w:rsid w:val="00A90F4D"/>
    <w:rsid w:val="00A93E79"/>
    <w:rsid w:val="00AA696C"/>
    <w:rsid w:val="00AB00AF"/>
    <w:rsid w:val="00AB298C"/>
    <w:rsid w:val="00AB2F03"/>
    <w:rsid w:val="00AC733D"/>
    <w:rsid w:val="00AE0D22"/>
    <w:rsid w:val="00AF058F"/>
    <w:rsid w:val="00B00DD3"/>
    <w:rsid w:val="00B12E59"/>
    <w:rsid w:val="00B20739"/>
    <w:rsid w:val="00B24FF7"/>
    <w:rsid w:val="00B3031B"/>
    <w:rsid w:val="00B307B0"/>
    <w:rsid w:val="00B322AD"/>
    <w:rsid w:val="00B4069E"/>
    <w:rsid w:val="00B43225"/>
    <w:rsid w:val="00B443A9"/>
    <w:rsid w:val="00B50AEE"/>
    <w:rsid w:val="00B64359"/>
    <w:rsid w:val="00B76C01"/>
    <w:rsid w:val="00B90A66"/>
    <w:rsid w:val="00B92F3B"/>
    <w:rsid w:val="00BB074A"/>
    <w:rsid w:val="00BC018E"/>
    <w:rsid w:val="00BF1014"/>
    <w:rsid w:val="00C07309"/>
    <w:rsid w:val="00C14C40"/>
    <w:rsid w:val="00C239C2"/>
    <w:rsid w:val="00C3251A"/>
    <w:rsid w:val="00C45BFA"/>
    <w:rsid w:val="00C76605"/>
    <w:rsid w:val="00C92079"/>
    <w:rsid w:val="00C94604"/>
    <w:rsid w:val="00CB06AC"/>
    <w:rsid w:val="00D0270C"/>
    <w:rsid w:val="00D170E9"/>
    <w:rsid w:val="00D4201A"/>
    <w:rsid w:val="00D45C98"/>
    <w:rsid w:val="00D47460"/>
    <w:rsid w:val="00D53922"/>
    <w:rsid w:val="00D714CA"/>
    <w:rsid w:val="00D7336B"/>
    <w:rsid w:val="00D868E9"/>
    <w:rsid w:val="00D95A7B"/>
    <w:rsid w:val="00DB77F5"/>
    <w:rsid w:val="00DC50CD"/>
    <w:rsid w:val="00DD1903"/>
    <w:rsid w:val="00DE30F2"/>
    <w:rsid w:val="00E23B04"/>
    <w:rsid w:val="00E26457"/>
    <w:rsid w:val="00E33933"/>
    <w:rsid w:val="00E55EAE"/>
    <w:rsid w:val="00E6238D"/>
    <w:rsid w:val="00E70BA5"/>
    <w:rsid w:val="00E962F8"/>
    <w:rsid w:val="00EB7071"/>
    <w:rsid w:val="00EF0924"/>
    <w:rsid w:val="00EF472D"/>
    <w:rsid w:val="00F22B74"/>
    <w:rsid w:val="00F31E5A"/>
    <w:rsid w:val="00F31E74"/>
    <w:rsid w:val="00F447B3"/>
    <w:rsid w:val="00F827A0"/>
    <w:rsid w:val="00F8304D"/>
    <w:rsid w:val="00F846F1"/>
    <w:rsid w:val="00FA4660"/>
    <w:rsid w:val="00FB4621"/>
    <w:rsid w:val="00FD536D"/>
    <w:rsid w:val="00FF128D"/>
    <w:rsid w:val="00FF4E97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210"/>
  <w15:docId w15:val="{55AB1DC7-CC82-48C0-A032-B8923DAF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8F"/>
    <w:pPr>
      <w:spacing w:after="0" w:line="276" w:lineRule="auto"/>
    </w:pPr>
    <w:rPr>
      <w:rFonts w:ascii="Constantia" w:hAnsi="Constantia"/>
      <w:sz w:val="24"/>
    </w:rPr>
  </w:style>
  <w:style w:type="paragraph" w:styleId="Titre2">
    <w:name w:val="heading 2"/>
    <w:basedOn w:val="Normal"/>
    <w:link w:val="Titre2Car"/>
    <w:uiPriority w:val="9"/>
    <w:qFormat/>
    <w:rsid w:val="00011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552C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552C"/>
    <w:rPr>
      <w:rFonts w:ascii="Constantia" w:hAnsi="Constant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552C"/>
    <w:rPr>
      <w:vertAlign w:val="superscript"/>
    </w:rPr>
  </w:style>
  <w:style w:type="character" w:customStyle="1" w:styleId="st">
    <w:name w:val="st"/>
    <w:basedOn w:val="Policepardfaut"/>
    <w:rsid w:val="00B24FF7"/>
  </w:style>
  <w:style w:type="character" w:styleId="Accentuation">
    <w:name w:val="Emphasis"/>
    <w:basedOn w:val="Policepardfaut"/>
    <w:uiPriority w:val="20"/>
    <w:qFormat/>
    <w:rsid w:val="00B24FF7"/>
    <w:rPr>
      <w:i/>
      <w:iCs/>
    </w:rPr>
  </w:style>
  <w:style w:type="character" w:customStyle="1" w:styleId="alinea">
    <w:name w:val="alinea"/>
    <w:basedOn w:val="Policepardfaut"/>
    <w:rsid w:val="00D47460"/>
  </w:style>
  <w:style w:type="character" w:customStyle="1" w:styleId="petitecap">
    <w:name w:val="petitecap"/>
    <w:basedOn w:val="Policepardfaut"/>
    <w:rsid w:val="00D47460"/>
  </w:style>
  <w:style w:type="paragraph" w:styleId="Paragraphedeliste">
    <w:name w:val="List Paragraph"/>
    <w:basedOn w:val="Normal"/>
    <w:uiPriority w:val="34"/>
    <w:qFormat/>
    <w:rsid w:val="00BC018E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560853"/>
    <w:rPr>
      <w:i/>
      <w:iCs/>
    </w:rPr>
  </w:style>
  <w:style w:type="paragraph" w:customStyle="1" w:styleId="teks">
    <w:name w:val="teks"/>
    <w:basedOn w:val="Normal"/>
    <w:rsid w:val="0095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5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939B1"/>
    <w:rPr>
      <w:color w:val="0000FF"/>
      <w:u w:val="single"/>
    </w:rPr>
  </w:style>
  <w:style w:type="character" w:customStyle="1" w:styleId="addmd">
    <w:name w:val="addmd"/>
    <w:basedOn w:val="Policepardfaut"/>
    <w:rsid w:val="0002025F"/>
  </w:style>
  <w:style w:type="character" w:customStyle="1" w:styleId="Titre2Car">
    <w:name w:val="Titre 2 Car"/>
    <w:basedOn w:val="Policepardfaut"/>
    <w:link w:val="Titre2"/>
    <w:uiPriority w:val="9"/>
    <w:rsid w:val="00011A9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textbody">
    <w:name w:val="textbody"/>
    <w:basedOn w:val="Normal"/>
    <w:rsid w:val="0001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listepuces1">
    <w:name w:val="listepuces1"/>
    <w:basedOn w:val="Normal"/>
    <w:rsid w:val="0001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unhideWhenUsed/>
    <w:rsid w:val="00EF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.pisani@icp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6638-A930-4AB2-888B-409A0D81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6319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PISANI</dc:creator>
  <cp:lastModifiedBy>Philippe KEISER</cp:lastModifiedBy>
  <cp:revision>2</cp:revision>
  <cp:lastPrinted>2018-03-09T08:48:00Z</cp:lastPrinted>
  <dcterms:created xsi:type="dcterms:W3CDTF">2018-03-15T09:19:00Z</dcterms:created>
  <dcterms:modified xsi:type="dcterms:W3CDTF">2018-03-15T09:19:00Z</dcterms:modified>
</cp:coreProperties>
</file>